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8D26EC">
      <w:pPr>
        <w:pStyle w:val="3"/>
        <w:spacing w:before="0" w:after="0" w:line="400" w:lineRule="exact"/>
        <w:rPr>
          <w:rFonts w:eastAsia="黑体"/>
          <w:sz w:val="28"/>
          <w:szCs w:val="28"/>
          <w:highlight w:val="none"/>
        </w:rPr>
      </w:pPr>
      <w:bookmarkStart w:id="0" w:name="_Toc144837284"/>
      <w:bookmarkStart w:id="1" w:name="_Toc193048000"/>
      <w:bookmarkStart w:id="2" w:name="_Toc13232"/>
      <w:bookmarkStart w:id="3" w:name="_Toc201074914"/>
      <w:bookmarkStart w:id="4" w:name="_Toc144838350"/>
      <w:bookmarkStart w:id="5" w:name="_Toc134792338"/>
      <w:bookmarkStart w:id="6" w:name="OLE_LINK2"/>
      <w:bookmarkStart w:id="34" w:name="_GoBack"/>
      <w:bookmarkEnd w:id="34"/>
      <w:r>
        <w:rPr>
          <w:rFonts w:eastAsia="黑体"/>
          <w:sz w:val="28"/>
          <w:szCs w:val="28"/>
          <w:highlight w:val="none"/>
        </w:rPr>
        <w:t>附件1：资格审查条件</w:t>
      </w:r>
      <w:bookmarkEnd w:id="0"/>
      <w:bookmarkEnd w:id="1"/>
      <w:bookmarkEnd w:id="2"/>
      <w:bookmarkEnd w:id="3"/>
      <w:bookmarkEnd w:id="4"/>
      <w:bookmarkEnd w:id="5"/>
    </w:p>
    <w:p w14:paraId="5F52276E">
      <w:pPr>
        <w:adjustRightInd w:val="0"/>
        <w:spacing w:line="400" w:lineRule="exact"/>
        <w:jc w:val="center"/>
        <w:rPr>
          <w:rFonts w:eastAsia="黑体"/>
          <w:bCs/>
          <w:sz w:val="24"/>
          <w:szCs w:val="24"/>
          <w:highlight w:val="none"/>
        </w:rPr>
      </w:pPr>
      <w:r>
        <w:rPr>
          <w:rFonts w:eastAsia="黑体"/>
          <w:bCs/>
          <w:sz w:val="24"/>
          <w:szCs w:val="24"/>
          <w:highlight w:val="none"/>
        </w:rPr>
        <w:t xml:space="preserve">附录1  </w:t>
      </w:r>
      <w:r>
        <w:rPr>
          <w:rFonts w:eastAsia="黑体"/>
          <w:bCs/>
          <w:sz w:val="24"/>
          <w:highlight w:val="none"/>
        </w:rPr>
        <w:t>资格</w:t>
      </w:r>
      <w:r>
        <w:rPr>
          <w:rFonts w:eastAsia="黑体"/>
          <w:bCs/>
          <w:sz w:val="24"/>
          <w:szCs w:val="24"/>
          <w:highlight w:val="none"/>
        </w:rPr>
        <w:t>审查条件（资质最低要求）</w:t>
      </w:r>
    </w:p>
    <w:tbl>
      <w:tblPr>
        <w:tblStyle w:val="7"/>
        <w:tblW w:w="4982"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91"/>
      </w:tblGrid>
      <w:tr w14:paraId="4167BE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000" w:type="pct"/>
            <w:vAlign w:val="center"/>
          </w:tcPr>
          <w:p w14:paraId="0F8C2024">
            <w:pPr>
              <w:pStyle w:val="6"/>
              <w:adjustRightInd w:val="0"/>
              <w:snapToGrid w:val="0"/>
              <w:spacing w:before="0" w:beforeAutospacing="0" w:after="0" w:afterAutospacing="0" w:line="400" w:lineRule="exact"/>
              <w:ind w:firstLine="0" w:firstLineChars="0"/>
              <w:contextualSpacing/>
              <w:jc w:val="center"/>
              <w:rPr>
                <w:rFonts w:ascii="Times New Roman" w:hAnsi="Times New Roman"/>
                <w:bCs/>
                <w:sz w:val="21"/>
                <w:szCs w:val="21"/>
                <w:highlight w:val="none"/>
              </w:rPr>
            </w:pPr>
            <w:r>
              <w:rPr>
                <w:rFonts w:ascii="Times New Roman" w:hAnsi="Times New Roman"/>
                <w:bCs/>
                <w:sz w:val="21"/>
                <w:szCs w:val="21"/>
                <w:highlight w:val="none"/>
              </w:rPr>
              <w:t>施工企业资质等级要求</w:t>
            </w:r>
          </w:p>
        </w:tc>
      </w:tr>
      <w:tr w14:paraId="6B730D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9" w:hRule="atLeast"/>
          <w:jc w:val="center"/>
        </w:trPr>
        <w:tc>
          <w:tcPr>
            <w:tcW w:w="5000" w:type="pct"/>
            <w:vAlign w:val="center"/>
          </w:tcPr>
          <w:p w14:paraId="18595518">
            <w:pPr>
              <w:spacing w:line="400" w:lineRule="exact"/>
              <w:ind w:firstLine="420" w:firstLineChars="200"/>
              <w:rPr>
                <w:bCs/>
                <w:sz w:val="21"/>
                <w:szCs w:val="21"/>
                <w:highlight w:val="none"/>
              </w:rPr>
            </w:pPr>
            <w:r>
              <w:rPr>
                <w:rFonts w:hint="eastAsia"/>
                <w:bCs/>
                <w:sz w:val="21"/>
                <w:szCs w:val="21"/>
                <w:highlight w:val="none"/>
              </w:rPr>
              <w:t>1</w:t>
            </w:r>
            <w:r>
              <w:rPr>
                <w:rFonts w:hint="eastAsia"/>
                <w:bCs/>
                <w:sz w:val="21"/>
                <w:szCs w:val="21"/>
                <w:highlight w:val="none"/>
                <w:lang w:eastAsia="zh-CN"/>
              </w:rPr>
              <w:t>、</w:t>
            </w:r>
            <w:r>
              <w:rPr>
                <w:rFonts w:hint="eastAsia"/>
                <w:bCs/>
                <w:sz w:val="21"/>
                <w:szCs w:val="21"/>
                <w:highlight w:val="none"/>
              </w:rPr>
              <w:t>中华人民共和国境内的法人或其他组织，持有有效的营业执照。</w:t>
            </w:r>
          </w:p>
          <w:p w14:paraId="4BA42087">
            <w:pPr>
              <w:spacing w:line="400" w:lineRule="exact"/>
              <w:ind w:firstLine="420" w:firstLineChars="200"/>
              <w:rPr>
                <w:rFonts w:hint="eastAsia"/>
                <w:bCs/>
                <w:sz w:val="21"/>
                <w:szCs w:val="21"/>
                <w:highlight w:val="none"/>
                <w:lang w:val="en-US" w:eastAsia="zh-CN"/>
              </w:rPr>
            </w:pPr>
            <w:r>
              <w:rPr>
                <w:rFonts w:hint="eastAsia"/>
                <w:bCs/>
                <w:sz w:val="21"/>
                <w:szCs w:val="21"/>
                <w:highlight w:val="none"/>
              </w:rPr>
              <w:t>2、</w:t>
            </w:r>
            <w:r>
              <w:rPr>
                <w:rFonts w:hint="eastAsia"/>
                <w:bCs/>
                <w:sz w:val="21"/>
                <w:szCs w:val="21"/>
                <w:highlight w:val="none"/>
                <w:lang w:val="en-US" w:eastAsia="zh-CN"/>
              </w:rPr>
              <w:t>具有住房和城乡建设主管部门颁发的有效的电力工程施工总承包三级及以上或输变电工程专业承包三级及以上资质。</w:t>
            </w:r>
          </w:p>
          <w:p w14:paraId="1D189D3D">
            <w:pPr>
              <w:spacing w:line="400" w:lineRule="exact"/>
              <w:ind w:firstLine="420" w:firstLineChars="200"/>
              <w:rPr>
                <w:rFonts w:hint="eastAsia" w:eastAsia="宋体"/>
                <w:bCs/>
                <w:sz w:val="21"/>
                <w:szCs w:val="21"/>
                <w:highlight w:val="none"/>
                <w:lang w:eastAsia="zh-CN"/>
              </w:rPr>
            </w:pPr>
            <w:r>
              <w:rPr>
                <w:rFonts w:hint="eastAsia"/>
                <w:bCs/>
                <w:sz w:val="21"/>
                <w:szCs w:val="21"/>
                <w:highlight w:val="none"/>
              </w:rPr>
              <w:t>3、具有有效的承装（修、试）电力设施许可证（许可范围包含承装类、承修类、承试类</w:t>
            </w:r>
            <w:r>
              <w:rPr>
                <w:rFonts w:hint="eastAsia"/>
                <w:bCs/>
                <w:sz w:val="21"/>
                <w:szCs w:val="21"/>
                <w:highlight w:val="none"/>
                <w:lang w:val="en-US" w:eastAsia="zh-CN"/>
              </w:rPr>
              <w:t>三</w:t>
            </w:r>
            <w:r>
              <w:rPr>
                <w:rFonts w:hint="eastAsia"/>
                <w:bCs/>
                <w:sz w:val="21"/>
                <w:szCs w:val="21"/>
                <w:highlight w:val="none"/>
              </w:rPr>
              <w:t>级</w:t>
            </w:r>
            <w:r>
              <w:rPr>
                <w:rFonts w:hint="eastAsia"/>
                <w:bCs/>
                <w:sz w:val="21"/>
                <w:szCs w:val="21"/>
                <w:highlight w:val="none"/>
                <w:lang w:val="en-US" w:eastAsia="zh-CN"/>
              </w:rPr>
              <w:t>及以上</w:t>
            </w:r>
            <w:r>
              <w:rPr>
                <w:rFonts w:hint="eastAsia"/>
                <w:bCs/>
                <w:sz w:val="21"/>
                <w:szCs w:val="21"/>
                <w:highlight w:val="none"/>
              </w:rPr>
              <w:t>）</w:t>
            </w:r>
            <w:r>
              <w:rPr>
                <w:rFonts w:hint="eastAsia"/>
                <w:bCs/>
                <w:sz w:val="21"/>
                <w:szCs w:val="21"/>
                <w:highlight w:val="none"/>
                <w:lang w:eastAsia="zh-CN"/>
              </w:rPr>
              <w:t>。</w:t>
            </w:r>
          </w:p>
          <w:p w14:paraId="6E0B0EAA">
            <w:pPr>
              <w:spacing w:line="400" w:lineRule="exact"/>
              <w:ind w:firstLine="420" w:firstLineChars="200"/>
              <w:rPr>
                <w:rFonts w:hint="eastAsia"/>
                <w:bCs/>
                <w:sz w:val="21"/>
                <w:szCs w:val="21"/>
                <w:highlight w:val="none"/>
              </w:rPr>
            </w:pPr>
            <w:r>
              <w:rPr>
                <w:rFonts w:hint="eastAsia"/>
                <w:bCs/>
                <w:sz w:val="21"/>
                <w:szCs w:val="21"/>
                <w:highlight w:val="none"/>
                <w:lang w:val="en-US" w:eastAsia="zh-CN"/>
              </w:rPr>
              <w:t>4、</w:t>
            </w:r>
            <w:r>
              <w:rPr>
                <w:rFonts w:hint="eastAsia"/>
                <w:bCs/>
                <w:sz w:val="21"/>
                <w:szCs w:val="21"/>
                <w:highlight w:val="none"/>
              </w:rPr>
              <w:t>具有住房和城乡建设主管部门颁发的有效的安全生产许可证。</w:t>
            </w:r>
          </w:p>
        </w:tc>
      </w:tr>
    </w:tbl>
    <w:p w14:paraId="348291E4">
      <w:pPr>
        <w:adjustRightInd w:val="0"/>
        <w:spacing w:line="400" w:lineRule="exact"/>
        <w:jc w:val="both"/>
        <w:rPr>
          <w:rFonts w:hint="default" w:eastAsia="宋体"/>
          <w:highlight w:val="none"/>
          <w:lang w:val="en-US" w:eastAsia="zh-CN"/>
        </w:rPr>
      </w:pPr>
    </w:p>
    <w:p w14:paraId="038746B9">
      <w:pPr>
        <w:adjustRightInd w:val="0"/>
        <w:spacing w:line="400" w:lineRule="exact"/>
        <w:jc w:val="center"/>
        <w:rPr>
          <w:rFonts w:eastAsia="黑体"/>
          <w:bCs/>
          <w:sz w:val="24"/>
          <w:szCs w:val="24"/>
          <w:highlight w:val="none"/>
        </w:rPr>
      </w:pPr>
      <w:r>
        <w:rPr>
          <w:rFonts w:eastAsia="黑体"/>
          <w:bCs/>
          <w:sz w:val="24"/>
          <w:szCs w:val="24"/>
          <w:highlight w:val="none"/>
        </w:rPr>
        <w:t>附录</w:t>
      </w:r>
      <w:r>
        <w:rPr>
          <w:rFonts w:hint="eastAsia" w:eastAsia="黑体"/>
          <w:bCs/>
          <w:sz w:val="24"/>
          <w:szCs w:val="24"/>
          <w:highlight w:val="none"/>
          <w:lang w:val="en-US" w:eastAsia="zh-CN"/>
        </w:rPr>
        <w:t>2</w:t>
      </w:r>
      <w:r>
        <w:rPr>
          <w:rFonts w:eastAsia="黑体"/>
          <w:bCs/>
          <w:sz w:val="24"/>
          <w:szCs w:val="24"/>
          <w:highlight w:val="none"/>
        </w:rPr>
        <w:t xml:space="preserve">  资格审查条件（业绩最低要求）</w:t>
      </w:r>
    </w:p>
    <w:tbl>
      <w:tblPr>
        <w:tblStyle w:val="7"/>
        <w:tblW w:w="4988"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502"/>
      </w:tblGrid>
      <w:tr w14:paraId="4A17B2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9" w:hRule="atLeast"/>
        </w:trPr>
        <w:tc>
          <w:tcPr>
            <w:tcW w:w="5000" w:type="pct"/>
            <w:tcBorders>
              <w:top w:val="single" w:color="auto" w:sz="4" w:space="0"/>
              <w:left w:val="single" w:color="auto" w:sz="4" w:space="0"/>
              <w:bottom w:val="single" w:color="auto" w:sz="4" w:space="0"/>
              <w:right w:val="single" w:color="auto" w:sz="4" w:space="0"/>
            </w:tcBorders>
            <w:vAlign w:val="center"/>
          </w:tcPr>
          <w:p w14:paraId="385B3335">
            <w:pPr>
              <w:spacing w:line="400" w:lineRule="exact"/>
              <w:jc w:val="center"/>
              <w:rPr>
                <w:bCs/>
                <w:kern w:val="2"/>
                <w:sz w:val="21"/>
                <w:szCs w:val="24"/>
                <w:highlight w:val="none"/>
              </w:rPr>
            </w:pPr>
            <w:r>
              <w:rPr>
                <w:bCs/>
                <w:kern w:val="2"/>
                <w:sz w:val="21"/>
                <w:szCs w:val="24"/>
                <w:highlight w:val="none"/>
              </w:rPr>
              <w:t>业绩要求</w:t>
            </w:r>
          </w:p>
        </w:tc>
      </w:tr>
      <w:tr w14:paraId="1C96A0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89" w:hRule="atLeast"/>
        </w:trPr>
        <w:tc>
          <w:tcPr>
            <w:tcW w:w="5000" w:type="pct"/>
            <w:tcBorders>
              <w:top w:val="single" w:color="auto" w:sz="4" w:space="0"/>
              <w:left w:val="single" w:color="auto" w:sz="4" w:space="0"/>
              <w:bottom w:val="single" w:color="auto" w:sz="4" w:space="0"/>
              <w:right w:val="single" w:color="auto" w:sz="4" w:space="0"/>
            </w:tcBorders>
            <w:vAlign w:val="center"/>
          </w:tcPr>
          <w:p w14:paraId="425AE254">
            <w:pPr>
              <w:adjustRightInd w:val="0"/>
              <w:snapToGrid w:val="0"/>
              <w:spacing w:line="400" w:lineRule="exact"/>
              <w:ind w:firstLine="420" w:firstLineChars="200"/>
              <w:rPr>
                <w:rFonts w:hint="eastAsia"/>
                <w:bCs/>
                <w:sz w:val="21"/>
                <w:szCs w:val="21"/>
                <w:highlight w:val="none"/>
              </w:rPr>
            </w:pPr>
            <w:r>
              <w:rPr>
                <w:rFonts w:hint="eastAsia"/>
                <w:bCs/>
                <w:kern w:val="2"/>
                <w:sz w:val="21"/>
                <w:szCs w:val="21"/>
                <w:highlight w:val="none"/>
              </w:rPr>
              <w:t>近</w:t>
            </w:r>
            <w:r>
              <w:rPr>
                <w:rFonts w:hint="eastAsia"/>
                <w:bCs/>
                <w:kern w:val="2"/>
                <w:sz w:val="21"/>
                <w:szCs w:val="21"/>
                <w:highlight w:val="none"/>
                <w:lang w:val="en-US" w:eastAsia="zh-CN"/>
              </w:rPr>
              <w:t>5</w:t>
            </w:r>
            <w:r>
              <w:rPr>
                <w:rFonts w:hint="eastAsia"/>
                <w:bCs/>
                <w:kern w:val="2"/>
                <w:sz w:val="21"/>
                <w:szCs w:val="21"/>
                <w:highlight w:val="none"/>
              </w:rPr>
              <w:t>年（202</w:t>
            </w:r>
            <w:r>
              <w:rPr>
                <w:rFonts w:hint="eastAsia"/>
                <w:bCs/>
                <w:kern w:val="2"/>
                <w:sz w:val="21"/>
                <w:szCs w:val="21"/>
                <w:highlight w:val="none"/>
                <w:lang w:val="en-US" w:eastAsia="zh-CN"/>
              </w:rPr>
              <w:t>1</w:t>
            </w:r>
            <w:r>
              <w:rPr>
                <w:rFonts w:hint="eastAsia"/>
                <w:bCs/>
                <w:kern w:val="2"/>
                <w:sz w:val="21"/>
                <w:szCs w:val="21"/>
                <w:highlight w:val="none"/>
              </w:rPr>
              <w:t>年</w:t>
            </w:r>
            <w:r>
              <w:rPr>
                <w:rFonts w:hint="eastAsia"/>
                <w:bCs/>
                <w:kern w:val="2"/>
                <w:sz w:val="21"/>
                <w:szCs w:val="21"/>
                <w:highlight w:val="none"/>
                <w:lang w:val="en-US" w:eastAsia="zh-CN"/>
              </w:rPr>
              <w:t>8</w:t>
            </w:r>
            <w:r>
              <w:rPr>
                <w:rFonts w:hint="eastAsia"/>
                <w:bCs/>
                <w:kern w:val="2"/>
                <w:sz w:val="21"/>
                <w:szCs w:val="21"/>
                <w:highlight w:val="none"/>
              </w:rPr>
              <w:t>月1日至投标截止时间，以</w:t>
            </w:r>
            <w:r>
              <w:rPr>
                <w:rFonts w:hint="eastAsia"/>
                <w:bCs/>
                <w:kern w:val="2"/>
                <w:sz w:val="21"/>
                <w:szCs w:val="21"/>
                <w:highlight w:val="none"/>
                <w:lang w:val="en-US" w:eastAsia="zh-CN"/>
              </w:rPr>
              <w:t>竣（交）工</w:t>
            </w:r>
            <w:r>
              <w:rPr>
                <w:rFonts w:hint="eastAsia"/>
                <w:bCs/>
                <w:kern w:val="2"/>
                <w:sz w:val="21"/>
                <w:szCs w:val="21"/>
                <w:highlight w:val="none"/>
              </w:rPr>
              <w:t>日期为准）承担过1项</w:t>
            </w:r>
            <w:r>
              <w:rPr>
                <w:rFonts w:hint="eastAsia"/>
                <w:bCs/>
                <w:kern w:val="2"/>
                <w:sz w:val="21"/>
                <w:szCs w:val="21"/>
                <w:highlight w:val="none"/>
                <w:lang w:val="en-US" w:eastAsia="zh-CN"/>
              </w:rPr>
              <w:t>合同金额不低于60万元的电力线路改造工程施工业绩。</w:t>
            </w:r>
          </w:p>
        </w:tc>
      </w:tr>
    </w:tbl>
    <w:p w14:paraId="035FD812">
      <w:pPr>
        <w:adjustRightInd w:val="0"/>
        <w:spacing w:line="400" w:lineRule="exact"/>
        <w:jc w:val="center"/>
        <w:rPr>
          <w:rFonts w:eastAsia="黑体"/>
          <w:bCs/>
          <w:sz w:val="24"/>
          <w:szCs w:val="24"/>
          <w:highlight w:val="none"/>
        </w:rPr>
      </w:pPr>
    </w:p>
    <w:p w14:paraId="0696933B">
      <w:pPr>
        <w:adjustRightInd w:val="0"/>
        <w:spacing w:line="400" w:lineRule="exact"/>
        <w:jc w:val="center"/>
        <w:rPr>
          <w:rFonts w:eastAsia="黑体"/>
          <w:bCs/>
          <w:sz w:val="24"/>
          <w:szCs w:val="24"/>
          <w:highlight w:val="none"/>
        </w:rPr>
      </w:pPr>
      <w:r>
        <w:rPr>
          <w:rFonts w:eastAsia="黑体"/>
          <w:bCs/>
          <w:sz w:val="24"/>
          <w:szCs w:val="24"/>
          <w:highlight w:val="none"/>
        </w:rPr>
        <w:t>附录</w:t>
      </w:r>
      <w:r>
        <w:rPr>
          <w:rFonts w:hint="eastAsia" w:eastAsia="黑体"/>
          <w:bCs/>
          <w:sz w:val="24"/>
          <w:szCs w:val="24"/>
          <w:highlight w:val="none"/>
          <w:lang w:val="en-US" w:eastAsia="zh-CN"/>
        </w:rPr>
        <w:t>3</w:t>
      </w:r>
      <w:r>
        <w:rPr>
          <w:rFonts w:eastAsia="黑体"/>
          <w:bCs/>
          <w:sz w:val="24"/>
          <w:szCs w:val="24"/>
          <w:highlight w:val="none"/>
        </w:rPr>
        <w:t xml:space="preserve">  资格审查条件（信誉最低要求）</w:t>
      </w:r>
    </w:p>
    <w:tbl>
      <w:tblPr>
        <w:tblStyle w:val="7"/>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3"/>
      </w:tblGrid>
      <w:tr w14:paraId="1F0BA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5000" w:type="pct"/>
            <w:vAlign w:val="center"/>
          </w:tcPr>
          <w:p w14:paraId="31EAC800">
            <w:pPr>
              <w:spacing w:line="400" w:lineRule="exact"/>
              <w:jc w:val="center"/>
              <w:rPr>
                <w:bCs/>
                <w:kern w:val="2"/>
                <w:sz w:val="21"/>
                <w:szCs w:val="21"/>
                <w:highlight w:val="none"/>
              </w:rPr>
            </w:pPr>
            <w:r>
              <w:rPr>
                <w:bCs/>
                <w:kern w:val="2"/>
                <w:sz w:val="21"/>
                <w:szCs w:val="21"/>
                <w:highlight w:val="none"/>
              </w:rPr>
              <w:t>信誉要求</w:t>
            </w:r>
          </w:p>
        </w:tc>
      </w:tr>
      <w:tr w14:paraId="58395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5000" w:type="pct"/>
            <w:vAlign w:val="center"/>
          </w:tcPr>
          <w:p w14:paraId="10360984">
            <w:pPr>
              <w:spacing w:line="400" w:lineRule="exact"/>
              <w:ind w:firstLine="420" w:firstLineChars="200"/>
              <w:rPr>
                <w:bCs/>
                <w:kern w:val="2"/>
                <w:sz w:val="21"/>
                <w:szCs w:val="21"/>
                <w:highlight w:val="none"/>
              </w:rPr>
            </w:pPr>
            <w:r>
              <w:rPr>
                <w:bCs/>
                <w:kern w:val="2"/>
                <w:sz w:val="21"/>
                <w:szCs w:val="21"/>
                <w:highlight w:val="none"/>
              </w:rPr>
              <w:t>投标人在过去一年（202</w:t>
            </w:r>
            <w:r>
              <w:rPr>
                <w:rFonts w:hint="eastAsia"/>
                <w:bCs/>
                <w:kern w:val="2"/>
                <w:sz w:val="21"/>
                <w:szCs w:val="21"/>
                <w:highlight w:val="none"/>
                <w:lang w:val="en-US" w:eastAsia="zh-CN"/>
              </w:rPr>
              <w:t>5</w:t>
            </w:r>
            <w:r>
              <w:rPr>
                <w:bCs/>
                <w:kern w:val="2"/>
                <w:sz w:val="21"/>
                <w:szCs w:val="21"/>
                <w:highlight w:val="none"/>
              </w:rPr>
              <w:t>年</w:t>
            </w:r>
            <w:r>
              <w:rPr>
                <w:rFonts w:hint="eastAsia"/>
                <w:bCs/>
                <w:kern w:val="2"/>
                <w:sz w:val="21"/>
                <w:szCs w:val="21"/>
                <w:highlight w:val="none"/>
                <w:lang w:val="en-US" w:eastAsia="zh-CN"/>
              </w:rPr>
              <w:t>8月</w:t>
            </w:r>
            <w:r>
              <w:rPr>
                <w:rFonts w:hint="eastAsia"/>
                <w:bCs/>
                <w:kern w:val="2"/>
                <w:sz w:val="21"/>
                <w:szCs w:val="21"/>
                <w:highlight w:val="none"/>
              </w:rPr>
              <w:t>1日</w:t>
            </w:r>
            <w:r>
              <w:rPr>
                <w:bCs/>
                <w:kern w:val="2"/>
                <w:sz w:val="21"/>
                <w:szCs w:val="21"/>
                <w:highlight w:val="none"/>
              </w:rPr>
              <w:t>至</w:t>
            </w:r>
            <w:r>
              <w:rPr>
                <w:bCs/>
                <w:sz w:val="21"/>
                <w:szCs w:val="21"/>
                <w:highlight w:val="none"/>
              </w:rPr>
              <w:t>投标截止时间</w:t>
            </w:r>
            <w:r>
              <w:rPr>
                <w:bCs/>
                <w:kern w:val="2"/>
                <w:sz w:val="21"/>
                <w:szCs w:val="21"/>
                <w:highlight w:val="none"/>
              </w:rPr>
              <w:t>）中不曾在</w:t>
            </w:r>
            <w:r>
              <w:rPr>
                <w:rFonts w:hint="eastAsia"/>
                <w:bCs/>
                <w:kern w:val="2"/>
                <w:sz w:val="21"/>
                <w:szCs w:val="21"/>
                <w:highlight w:val="none"/>
                <w:lang w:eastAsia="zh-CN"/>
              </w:rPr>
              <w:t>电力线路改造工程</w:t>
            </w:r>
            <w:r>
              <w:rPr>
                <w:rFonts w:hint="eastAsia"/>
                <w:bCs/>
                <w:kern w:val="2"/>
                <w:sz w:val="21"/>
                <w:szCs w:val="21"/>
                <w:highlight w:val="none"/>
              </w:rPr>
              <w:t>施工合同</w:t>
            </w:r>
            <w:r>
              <w:rPr>
                <w:bCs/>
                <w:kern w:val="2"/>
                <w:sz w:val="21"/>
                <w:szCs w:val="21"/>
                <w:highlight w:val="none"/>
              </w:rPr>
              <w:t>中违约而被驱逐或因投标人自身的原因而使</w:t>
            </w:r>
            <w:r>
              <w:rPr>
                <w:rFonts w:hint="eastAsia"/>
                <w:bCs/>
                <w:kern w:val="2"/>
                <w:sz w:val="21"/>
                <w:szCs w:val="21"/>
                <w:highlight w:val="none"/>
                <w:lang w:eastAsia="zh-CN"/>
              </w:rPr>
              <w:t>电力线路改造工程</w:t>
            </w:r>
            <w:r>
              <w:rPr>
                <w:rFonts w:hint="eastAsia"/>
                <w:bCs/>
                <w:kern w:val="2"/>
                <w:sz w:val="21"/>
                <w:szCs w:val="21"/>
                <w:highlight w:val="none"/>
              </w:rPr>
              <w:t>施工合同</w:t>
            </w:r>
            <w:r>
              <w:rPr>
                <w:bCs/>
                <w:kern w:val="2"/>
                <w:sz w:val="21"/>
                <w:szCs w:val="21"/>
                <w:highlight w:val="none"/>
              </w:rPr>
              <w:t>被解除。</w:t>
            </w:r>
          </w:p>
        </w:tc>
      </w:tr>
    </w:tbl>
    <w:p w14:paraId="7ADC20DF">
      <w:pPr>
        <w:rPr>
          <w:rFonts w:ascii="宋体" w:hAnsi="宋体"/>
          <w:szCs w:val="21"/>
          <w:highlight w:val="none"/>
        </w:rPr>
      </w:pPr>
    </w:p>
    <w:p w14:paraId="79C2CB01">
      <w:pPr>
        <w:adjustRightInd w:val="0"/>
        <w:spacing w:line="400" w:lineRule="exact"/>
        <w:jc w:val="center"/>
        <w:rPr>
          <w:rFonts w:eastAsia="黑体"/>
          <w:bCs/>
          <w:sz w:val="24"/>
          <w:szCs w:val="24"/>
          <w:highlight w:val="none"/>
        </w:rPr>
      </w:pPr>
      <w:r>
        <w:rPr>
          <w:rFonts w:eastAsia="黑体"/>
          <w:bCs/>
          <w:sz w:val="24"/>
          <w:szCs w:val="24"/>
          <w:highlight w:val="none"/>
        </w:rPr>
        <w:t>附录</w:t>
      </w:r>
      <w:r>
        <w:rPr>
          <w:rFonts w:hint="eastAsia" w:eastAsia="黑体"/>
          <w:bCs/>
          <w:sz w:val="24"/>
          <w:szCs w:val="24"/>
          <w:highlight w:val="none"/>
          <w:lang w:val="en-US" w:eastAsia="zh-CN"/>
        </w:rPr>
        <w:t>4</w:t>
      </w:r>
      <w:r>
        <w:rPr>
          <w:rFonts w:eastAsia="黑体"/>
          <w:bCs/>
          <w:sz w:val="24"/>
          <w:szCs w:val="24"/>
          <w:highlight w:val="none"/>
        </w:rPr>
        <w:t xml:space="preserve">  资格审查条件（</w:t>
      </w:r>
      <w:r>
        <w:rPr>
          <w:rFonts w:hint="eastAsia" w:eastAsia="黑体"/>
          <w:bCs/>
          <w:sz w:val="24"/>
          <w:szCs w:val="24"/>
          <w:highlight w:val="none"/>
        </w:rPr>
        <w:t>项目</w:t>
      </w:r>
      <w:r>
        <w:rPr>
          <w:rFonts w:hint="eastAsia" w:eastAsia="黑体"/>
          <w:bCs/>
          <w:sz w:val="24"/>
          <w:szCs w:val="24"/>
          <w:highlight w:val="none"/>
          <w:lang w:eastAsia="zh-CN"/>
        </w:rPr>
        <w:t>经理</w:t>
      </w:r>
      <w:r>
        <w:rPr>
          <w:rFonts w:eastAsia="黑体"/>
          <w:bCs/>
          <w:sz w:val="24"/>
          <w:szCs w:val="24"/>
          <w:highlight w:val="none"/>
        </w:rPr>
        <w:t>最低要求）</w:t>
      </w:r>
    </w:p>
    <w:tbl>
      <w:tblPr>
        <w:tblStyle w:val="7"/>
        <w:tblW w:w="500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5"/>
        <w:gridCol w:w="681"/>
        <w:gridCol w:w="5370"/>
        <w:gridCol w:w="1381"/>
      </w:tblGrid>
      <w:tr w14:paraId="56B18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647" w:type="pct"/>
            <w:vAlign w:val="center"/>
          </w:tcPr>
          <w:p w14:paraId="13DCE0D4">
            <w:pPr>
              <w:spacing w:line="400" w:lineRule="exact"/>
              <w:jc w:val="center"/>
              <w:rPr>
                <w:kern w:val="2"/>
                <w:sz w:val="21"/>
                <w:szCs w:val="21"/>
                <w:highlight w:val="none"/>
              </w:rPr>
            </w:pPr>
            <w:r>
              <w:rPr>
                <w:kern w:val="2"/>
                <w:sz w:val="21"/>
                <w:szCs w:val="21"/>
                <w:highlight w:val="none"/>
              </w:rPr>
              <w:t>人员</w:t>
            </w:r>
          </w:p>
        </w:tc>
        <w:tc>
          <w:tcPr>
            <w:tcW w:w="399" w:type="pct"/>
            <w:vAlign w:val="center"/>
          </w:tcPr>
          <w:p w14:paraId="520CBCB3">
            <w:pPr>
              <w:spacing w:line="400" w:lineRule="exact"/>
              <w:jc w:val="center"/>
              <w:rPr>
                <w:kern w:val="2"/>
                <w:sz w:val="21"/>
                <w:szCs w:val="21"/>
                <w:highlight w:val="none"/>
              </w:rPr>
            </w:pPr>
            <w:r>
              <w:rPr>
                <w:kern w:val="2"/>
                <w:sz w:val="21"/>
                <w:szCs w:val="21"/>
                <w:highlight w:val="none"/>
              </w:rPr>
              <w:t>数量</w:t>
            </w:r>
          </w:p>
        </w:tc>
        <w:tc>
          <w:tcPr>
            <w:tcW w:w="3144" w:type="pct"/>
            <w:vAlign w:val="center"/>
          </w:tcPr>
          <w:p w14:paraId="26159178">
            <w:pPr>
              <w:spacing w:line="400" w:lineRule="exact"/>
              <w:jc w:val="center"/>
              <w:rPr>
                <w:kern w:val="2"/>
                <w:sz w:val="21"/>
                <w:szCs w:val="21"/>
                <w:highlight w:val="none"/>
              </w:rPr>
            </w:pPr>
            <w:r>
              <w:rPr>
                <w:kern w:val="2"/>
                <w:sz w:val="21"/>
                <w:szCs w:val="21"/>
                <w:highlight w:val="none"/>
              </w:rPr>
              <w:t>资格要求</w:t>
            </w:r>
          </w:p>
        </w:tc>
        <w:tc>
          <w:tcPr>
            <w:tcW w:w="808" w:type="pct"/>
            <w:vAlign w:val="center"/>
          </w:tcPr>
          <w:p w14:paraId="70895F78">
            <w:pPr>
              <w:spacing w:line="400" w:lineRule="exact"/>
              <w:jc w:val="center"/>
              <w:rPr>
                <w:kern w:val="2"/>
                <w:sz w:val="21"/>
                <w:szCs w:val="21"/>
                <w:highlight w:val="none"/>
              </w:rPr>
            </w:pPr>
            <w:r>
              <w:rPr>
                <w:kern w:val="2"/>
                <w:sz w:val="21"/>
                <w:szCs w:val="21"/>
                <w:highlight w:val="none"/>
              </w:rPr>
              <w:t>在岗要求</w:t>
            </w:r>
          </w:p>
        </w:tc>
      </w:tr>
      <w:tr w14:paraId="7274B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647" w:type="pct"/>
            <w:vAlign w:val="center"/>
          </w:tcPr>
          <w:p w14:paraId="48C7E758">
            <w:pPr>
              <w:spacing w:line="400" w:lineRule="exact"/>
              <w:jc w:val="center"/>
              <w:rPr>
                <w:rFonts w:hint="default" w:eastAsia="宋体"/>
                <w:kern w:val="2"/>
                <w:sz w:val="21"/>
                <w:szCs w:val="21"/>
                <w:highlight w:val="none"/>
                <w:lang w:val="en-US" w:eastAsia="zh-CN"/>
              </w:rPr>
            </w:pPr>
            <w:r>
              <w:rPr>
                <w:rFonts w:hint="eastAsia"/>
                <w:kern w:val="2"/>
                <w:sz w:val="21"/>
                <w:szCs w:val="21"/>
                <w:highlight w:val="none"/>
                <w:lang w:val="en-US" w:eastAsia="zh-CN"/>
              </w:rPr>
              <w:t>项目经理</w:t>
            </w:r>
          </w:p>
        </w:tc>
        <w:tc>
          <w:tcPr>
            <w:tcW w:w="399" w:type="pct"/>
            <w:vAlign w:val="center"/>
          </w:tcPr>
          <w:p w14:paraId="7B889F68">
            <w:pPr>
              <w:spacing w:line="400" w:lineRule="exact"/>
              <w:jc w:val="center"/>
              <w:rPr>
                <w:kern w:val="2"/>
                <w:sz w:val="21"/>
                <w:szCs w:val="21"/>
                <w:highlight w:val="none"/>
              </w:rPr>
            </w:pPr>
            <w:r>
              <w:rPr>
                <w:kern w:val="2"/>
                <w:sz w:val="21"/>
                <w:szCs w:val="21"/>
                <w:highlight w:val="none"/>
              </w:rPr>
              <w:t>1</w:t>
            </w:r>
          </w:p>
        </w:tc>
        <w:tc>
          <w:tcPr>
            <w:tcW w:w="3144" w:type="pct"/>
            <w:vAlign w:val="center"/>
          </w:tcPr>
          <w:p w14:paraId="4CB66F95">
            <w:pPr>
              <w:spacing w:line="400" w:lineRule="exact"/>
              <w:ind w:firstLine="420" w:firstLineChars="200"/>
              <w:rPr>
                <w:bCs/>
                <w:kern w:val="2"/>
                <w:sz w:val="21"/>
                <w:szCs w:val="21"/>
                <w:highlight w:val="none"/>
              </w:rPr>
            </w:pPr>
            <w:r>
              <w:rPr>
                <w:rFonts w:hint="eastAsia"/>
                <w:bCs/>
                <w:kern w:val="2"/>
                <w:sz w:val="21"/>
                <w:szCs w:val="21"/>
                <w:highlight w:val="none"/>
                <w:lang w:val="en-US" w:eastAsia="zh-CN"/>
              </w:rPr>
              <w:t>1</w:t>
            </w:r>
            <w:r>
              <w:rPr>
                <w:rFonts w:hint="eastAsia"/>
                <w:bCs/>
                <w:kern w:val="2"/>
                <w:sz w:val="21"/>
                <w:szCs w:val="21"/>
                <w:highlight w:val="none"/>
              </w:rPr>
              <w:t>、</w:t>
            </w:r>
            <w:bookmarkStart w:id="7" w:name="_Hlk206768065"/>
            <w:r>
              <w:rPr>
                <w:bCs/>
                <w:kern w:val="2"/>
                <w:sz w:val="21"/>
                <w:szCs w:val="21"/>
                <w:highlight w:val="none"/>
              </w:rPr>
              <w:t>具有</w:t>
            </w:r>
            <w:r>
              <w:rPr>
                <w:rFonts w:hint="eastAsia"/>
                <w:bCs/>
                <w:kern w:val="2"/>
                <w:sz w:val="21"/>
                <w:szCs w:val="21"/>
                <w:highlight w:val="none"/>
              </w:rPr>
              <w:t>机电工程</w:t>
            </w:r>
            <w:r>
              <w:rPr>
                <w:bCs/>
                <w:kern w:val="2"/>
                <w:sz w:val="21"/>
                <w:szCs w:val="21"/>
                <w:highlight w:val="none"/>
              </w:rPr>
              <w:t>专业</w:t>
            </w:r>
            <w:r>
              <w:rPr>
                <w:rFonts w:hint="eastAsia"/>
                <w:bCs/>
                <w:kern w:val="2"/>
                <w:sz w:val="21"/>
                <w:szCs w:val="21"/>
                <w:highlight w:val="none"/>
                <w:lang w:val="en-US" w:eastAsia="zh-CN"/>
              </w:rPr>
              <w:t>二</w:t>
            </w:r>
            <w:r>
              <w:rPr>
                <w:bCs/>
                <w:kern w:val="2"/>
                <w:sz w:val="21"/>
                <w:szCs w:val="21"/>
                <w:highlight w:val="none"/>
              </w:rPr>
              <w:t>级</w:t>
            </w:r>
            <w:r>
              <w:rPr>
                <w:rFonts w:hint="eastAsia"/>
                <w:bCs/>
                <w:kern w:val="2"/>
                <w:sz w:val="21"/>
                <w:szCs w:val="21"/>
                <w:highlight w:val="none"/>
                <w:lang w:val="en-US" w:eastAsia="zh-CN"/>
              </w:rPr>
              <w:t>及以上</w:t>
            </w:r>
            <w:r>
              <w:rPr>
                <w:bCs/>
                <w:kern w:val="2"/>
                <w:sz w:val="21"/>
                <w:szCs w:val="21"/>
                <w:highlight w:val="none"/>
              </w:rPr>
              <w:t>建造师注册证书，建造师注册证书的注册单位须与投标人名称一致。</w:t>
            </w:r>
            <w:bookmarkEnd w:id="7"/>
          </w:p>
          <w:p w14:paraId="33CCEBAC">
            <w:pPr>
              <w:spacing w:line="400" w:lineRule="exact"/>
              <w:ind w:firstLine="420" w:firstLineChars="200"/>
              <w:rPr>
                <w:bCs/>
                <w:kern w:val="2"/>
                <w:sz w:val="21"/>
                <w:szCs w:val="21"/>
                <w:highlight w:val="none"/>
              </w:rPr>
            </w:pPr>
            <w:r>
              <w:rPr>
                <w:rFonts w:hint="eastAsia"/>
                <w:bCs/>
                <w:kern w:val="2"/>
                <w:sz w:val="21"/>
                <w:szCs w:val="21"/>
                <w:highlight w:val="none"/>
                <w:lang w:val="en-US" w:eastAsia="zh-CN"/>
              </w:rPr>
              <w:t>2</w:t>
            </w:r>
            <w:r>
              <w:rPr>
                <w:rFonts w:hint="eastAsia"/>
                <w:bCs/>
                <w:kern w:val="2"/>
                <w:sz w:val="21"/>
                <w:szCs w:val="21"/>
                <w:highlight w:val="none"/>
              </w:rPr>
              <w:t>、</w:t>
            </w:r>
            <w:bookmarkStart w:id="8" w:name="_Hlk206768075"/>
            <w:r>
              <w:rPr>
                <w:bCs/>
                <w:kern w:val="2"/>
                <w:sz w:val="21"/>
                <w:szCs w:val="21"/>
                <w:highlight w:val="none"/>
              </w:rPr>
              <w:t>具有</w:t>
            </w:r>
            <w:r>
              <w:rPr>
                <w:rFonts w:hint="eastAsia"/>
                <w:bCs/>
                <w:kern w:val="2"/>
                <w:sz w:val="21"/>
                <w:szCs w:val="21"/>
                <w:highlight w:val="none"/>
                <w:lang w:val="en-US" w:eastAsia="zh-CN"/>
              </w:rPr>
              <w:t>住房和城乡建设</w:t>
            </w:r>
            <w:r>
              <w:rPr>
                <w:bCs/>
                <w:kern w:val="2"/>
                <w:sz w:val="21"/>
                <w:szCs w:val="21"/>
                <w:highlight w:val="none"/>
              </w:rPr>
              <w:t>主管部门颁发的有效的安全生产考核合格证书（B类），安全生产考核合格证书的登记单位须与投标人单位名称一致</w:t>
            </w:r>
            <w:bookmarkEnd w:id="8"/>
            <w:r>
              <w:rPr>
                <w:bCs/>
                <w:kern w:val="2"/>
                <w:sz w:val="21"/>
                <w:szCs w:val="21"/>
                <w:highlight w:val="none"/>
              </w:rPr>
              <w:t>。</w:t>
            </w:r>
          </w:p>
          <w:p w14:paraId="370BDCCD">
            <w:pPr>
              <w:spacing w:line="400" w:lineRule="exact"/>
              <w:ind w:firstLine="420" w:firstLineChars="200"/>
              <w:rPr>
                <w:rFonts w:hint="default"/>
                <w:kern w:val="0"/>
                <w:sz w:val="21"/>
                <w:szCs w:val="21"/>
                <w:highlight w:val="none"/>
                <w:lang w:val="en-US"/>
              </w:rPr>
            </w:pPr>
            <w:r>
              <w:rPr>
                <w:rFonts w:hint="eastAsia"/>
                <w:bCs/>
                <w:kern w:val="2"/>
                <w:sz w:val="21"/>
                <w:szCs w:val="21"/>
                <w:highlight w:val="none"/>
                <w:lang w:val="en-US" w:eastAsia="zh-CN"/>
              </w:rPr>
              <w:t>3</w:t>
            </w:r>
            <w:r>
              <w:rPr>
                <w:rFonts w:hint="eastAsia"/>
                <w:bCs/>
                <w:kern w:val="2"/>
                <w:sz w:val="21"/>
                <w:szCs w:val="21"/>
                <w:highlight w:val="none"/>
              </w:rPr>
              <w:t>、</w:t>
            </w:r>
            <w:bookmarkStart w:id="9" w:name="_Hlk206768083"/>
            <w:r>
              <w:rPr>
                <w:bCs/>
                <w:kern w:val="2"/>
                <w:sz w:val="21"/>
                <w:szCs w:val="21"/>
                <w:highlight w:val="none"/>
              </w:rPr>
              <w:t>近</w:t>
            </w:r>
            <w:r>
              <w:rPr>
                <w:rFonts w:hint="eastAsia"/>
                <w:bCs/>
                <w:kern w:val="2"/>
                <w:sz w:val="21"/>
                <w:szCs w:val="21"/>
                <w:highlight w:val="none"/>
                <w:lang w:val="en-US" w:eastAsia="zh-CN"/>
              </w:rPr>
              <w:t>5</w:t>
            </w:r>
            <w:r>
              <w:rPr>
                <w:bCs/>
                <w:kern w:val="2"/>
                <w:sz w:val="21"/>
                <w:szCs w:val="21"/>
                <w:highlight w:val="none"/>
              </w:rPr>
              <w:t>年（202</w:t>
            </w:r>
            <w:r>
              <w:rPr>
                <w:rFonts w:hint="eastAsia"/>
                <w:bCs/>
                <w:kern w:val="2"/>
                <w:sz w:val="21"/>
                <w:szCs w:val="21"/>
                <w:highlight w:val="none"/>
                <w:lang w:val="en-US" w:eastAsia="zh-CN"/>
              </w:rPr>
              <w:t>1</w:t>
            </w:r>
            <w:r>
              <w:rPr>
                <w:bCs/>
                <w:kern w:val="2"/>
                <w:sz w:val="21"/>
                <w:szCs w:val="21"/>
                <w:highlight w:val="none"/>
              </w:rPr>
              <w:t>年</w:t>
            </w:r>
            <w:r>
              <w:rPr>
                <w:rFonts w:hint="eastAsia"/>
                <w:bCs/>
                <w:kern w:val="2"/>
                <w:sz w:val="21"/>
                <w:szCs w:val="21"/>
                <w:highlight w:val="none"/>
                <w:lang w:val="en-US" w:eastAsia="zh-CN"/>
              </w:rPr>
              <w:t>8月</w:t>
            </w:r>
            <w:r>
              <w:rPr>
                <w:rFonts w:hint="eastAsia"/>
                <w:bCs/>
                <w:kern w:val="2"/>
                <w:sz w:val="21"/>
                <w:szCs w:val="21"/>
                <w:highlight w:val="none"/>
              </w:rPr>
              <w:t>1日</w:t>
            </w:r>
            <w:r>
              <w:rPr>
                <w:bCs/>
                <w:kern w:val="2"/>
                <w:sz w:val="21"/>
                <w:szCs w:val="21"/>
                <w:highlight w:val="none"/>
              </w:rPr>
              <w:t>至投标截止时间，以</w:t>
            </w:r>
            <w:r>
              <w:rPr>
                <w:rFonts w:hint="eastAsia"/>
                <w:bCs/>
                <w:kern w:val="2"/>
                <w:sz w:val="21"/>
                <w:szCs w:val="21"/>
                <w:highlight w:val="none"/>
                <w:lang w:val="en-US" w:eastAsia="zh-CN"/>
              </w:rPr>
              <w:t>竣（交）工</w:t>
            </w:r>
            <w:r>
              <w:rPr>
                <w:bCs/>
                <w:kern w:val="2"/>
                <w:sz w:val="21"/>
                <w:szCs w:val="21"/>
                <w:highlight w:val="none"/>
              </w:rPr>
              <w:t>日期为准）担任过</w:t>
            </w:r>
            <w:r>
              <w:rPr>
                <w:rFonts w:hint="eastAsia"/>
                <w:bCs/>
                <w:kern w:val="2"/>
                <w:sz w:val="21"/>
                <w:szCs w:val="21"/>
                <w:highlight w:val="none"/>
              </w:rPr>
              <w:t>一项合同金额不</w:t>
            </w:r>
            <w:r>
              <w:rPr>
                <w:rFonts w:hint="eastAsia"/>
                <w:bCs/>
                <w:kern w:val="2"/>
                <w:sz w:val="21"/>
                <w:szCs w:val="21"/>
                <w:highlight w:val="none"/>
                <w:lang w:eastAsia="zh-CN"/>
              </w:rPr>
              <w:t>低</w:t>
            </w:r>
            <w:r>
              <w:rPr>
                <w:rFonts w:hint="eastAsia"/>
                <w:bCs/>
                <w:kern w:val="2"/>
                <w:sz w:val="21"/>
                <w:szCs w:val="21"/>
                <w:highlight w:val="none"/>
              </w:rPr>
              <w:t>于</w:t>
            </w:r>
            <w:r>
              <w:rPr>
                <w:rFonts w:hint="eastAsia"/>
                <w:bCs/>
                <w:kern w:val="2"/>
                <w:sz w:val="21"/>
                <w:szCs w:val="21"/>
                <w:highlight w:val="none"/>
                <w:lang w:val="en-US" w:eastAsia="zh-CN"/>
              </w:rPr>
              <w:t>60</w:t>
            </w:r>
            <w:r>
              <w:rPr>
                <w:rFonts w:hint="eastAsia"/>
                <w:bCs/>
                <w:kern w:val="2"/>
                <w:sz w:val="21"/>
                <w:szCs w:val="21"/>
                <w:highlight w:val="none"/>
              </w:rPr>
              <w:t>万元的</w:t>
            </w:r>
            <w:r>
              <w:rPr>
                <w:rFonts w:hint="eastAsia"/>
                <w:bCs/>
                <w:kern w:val="2"/>
                <w:sz w:val="21"/>
                <w:szCs w:val="21"/>
                <w:highlight w:val="none"/>
                <w:lang w:val="en-US" w:eastAsia="zh-CN"/>
              </w:rPr>
              <w:t>电力线路改造工程施工项目</w:t>
            </w:r>
            <w:r>
              <w:rPr>
                <w:bCs/>
                <w:kern w:val="2"/>
                <w:sz w:val="21"/>
                <w:szCs w:val="21"/>
                <w:highlight w:val="none"/>
              </w:rPr>
              <w:t>的</w:t>
            </w:r>
            <w:r>
              <w:rPr>
                <w:rFonts w:hint="eastAsia"/>
                <w:bCs/>
                <w:kern w:val="2"/>
                <w:sz w:val="21"/>
                <w:szCs w:val="21"/>
                <w:highlight w:val="none"/>
                <w:lang w:val="en-US" w:eastAsia="zh-CN"/>
              </w:rPr>
              <w:t>项目经理或</w:t>
            </w:r>
            <w:r>
              <w:rPr>
                <w:rFonts w:hint="eastAsia"/>
                <w:bCs/>
                <w:kern w:val="2"/>
                <w:sz w:val="21"/>
                <w:szCs w:val="21"/>
                <w:highlight w:val="none"/>
                <w:lang w:eastAsia="zh-CN"/>
              </w:rPr>
              <w:t>项目负责人</w:t>
            </w:r>
            <w:bookmarkEnd w:id="9"/>
            <w:r>
              <w:rPr>
                <w:rFonts w:hint="eastAsia"/>
                <w:bCs/>
                <w:kern w:val="2"/>
                <w:sz w:val="21"/>
                <w:szCs w:val="21"/>
                <w:highlight w:val="none"/>
                <w:lang w:eastAsia="zh-CN"/>
              </w:rPr>
              <w:t>。</w:t>
            </w:r>
          </w:p>
        </w:tc>
        <w:tc>
          <w:tcPr>
            <w:tcW w:w="808" w:type="pct"/>
            <w:vAlign w:val="center"/>
          </w:tcPr>
          <w:p w14:paraId="47BAC172">
            <w:pPr>
              <w:adjustRightInd w:val="0"/>
              <w:snapToGrid w:val="0"/>
              <w:spacing w:line="400" w:lineRule="exact"/>
              <w:rPr>
                <w:kern w:val="0"/>
                <w:sz w:val="21"/>
                <w:szCs w:val="21"/>
                <w:highlight w:val="none"/>
              </w:rPr>
            </w:pPr>
            <w:r>
              <w:rPr>
                <w:rFonts w:hint="eastAsia"/>
                <w:kern w:val="0"/>
                <w:sz w:val="21"/>
                <w:szCs w:val="21"/>
                <w:highlight w:val="none"/>
              </w:rPr>
              <w:t>目前未在其他项目上任职，或虽在其他项目上任职但本项目中标后能够从该项目撤离</w:t>
            </w:r>
          </w:p>
        </w:tc>
      </w:tr>
    </w:tbl>
    <w:p w14:paraId="7FDECBBB">
      <w:pPr>
        <w:rPr>
          <w:sz w:val="21"/>
          <w:szCs w:val="21"/>
          <w:highlight w:val="none"/>
        </w:rPr>
      </w:pPr>
    </w:p>
    <w:p w14:paraId="40ECB15E">
      <w:pPr>
        <w:widowControl/>
        <w:jc w:val="left"/>
        <w:rPr>
          <w:rFonts w:hint="eastAsia" w:ascii="宋体" w:hAnsi="宋体" w:cs="宋体"/>
          <w:b/>
          <w:bCs/>
          <w:szCs w:val="28"/>
          <w:highlight w:val="none"/>
        </w:rPr>
      </w:pPr>
      <w:r>
        <w:rPr>
          <w:sz w:val="21"/>
          <w:szCs w:val="21"/>
          <w:highlight w:val="none"/>
        </w:rPr>
        <w:br w:type="page"/>
      </w:r>
      <w:bookmarkStart w:id="10" w:name="_Toc134792340"/>
      <w:bookmarkStart w:id="11" w:name="_Toc144837286"/>
      <w:bookmarkStart w:id="12" w:name="_Toc144838352"/>
      <w:bookmarkStart w:id="13" w:name="_Toc24908"/>
      <w:bookmarkStart w:id="14" w:name="_Toc472700283"/>
      <w:bookmarkStart w:id="15" w:name="_Toc478141167"/>
      <w:bookmarkStart w:id="16" w:name="_Toc456619522"/>
      <w:bookmarkStart w:id="17" w:name="_Toc476561971"/>
      <w:bookmarkStart w:id="18" w:name="_Toc459307892"/>
    </w:p>
    <w:p w14:paraId="34939C36">
      <w:pPr>
        <w:pStyle w:val="3"/>
        <w:spacing w:before="0" w:after="0" w:line="400" w:lineRule="exact"/>
        <w:rPr>
          <w:rFonts w:eastAsia="黑体"/>
          <w:sz w:val="28"/>
          <w:szCs w:val="28"/>
          <w:highlight w:val="none"/>
        </w:rPr>
      </w:pPr>
      <w:bookmarkStart w:id="19" w:name="_Toc201074918"/>
      <w:r>
        <w:rPr>
          <w:rFonts w:eastAsia="黑体"/>
          <w:sz w:val="28"/>
          <w:szCs w:val="28"/>
          <w:highlight w:val="none"/>
        </w:rPr>
        <w:t>附件</w:t>
      </w:r>
      <w:bookmarkEnd w:id="10"/>
      <w:bookmarkEnd w:id="11"/>
      <w:bookmarkEnd w:id="12"/>
      <w:bookmarkEnd w:id="13"/>
      <w:r>
        <w:rPr>
          <w:rFonts w:hint="eastAsia" w:eastAsia="黑体"/>
          <w:sz w:val="28"/>
          <w:szCs w:val="28"/>
          <w:highlight w:val="none"/>
          <w:lang w:val="en-US" w:eastAsia="zh-CN"/>
        </w:rPr>
        <w:t>2</w:t>
      </w:r>
      <w:r>
        <w:rPr>
          <w:rFonts w:eastAsia="黑体"/>
          <w:sz w:val="28"/>
          <w:szCs w:val="28"/>
          <w:highlight w:val="none"/>
        </w:rPr>
        <w:t>：评标办法</w:t>
      </w:r>
      <w:bookmarkEnd w:id="19"/>
    </w:p>
    <w:bookmarkEnd w:id="6"/>
    <w:bookmarkEnd w:id="14"/>
    <w:bookmarkEnd w:id="15"/>
    <w:bookmarkEnd w:id="16"/>
    <w:bookmarkEnd w:id="17"/>
    <w:bookmarkEnd w:id="18"/>
    <w:p w14:paraId="7AB84E7A">
      <w:pPr>
        <w:pStyle w:val="4"/>
        <w:spacing w:line="360" w:lineRule="auto"/>
        <w:jc w:val="center"/>
        <w:rPr>
          <w:rFonts w:hint="eastAsia" w:ascii="宋体" w:hAnsi="宋体"/>
          <w:b/>
          <w:szCs w:val="28"/>
          <w:highlight w:val="none"/>
        </w:rPr>
      </w:pPr>
      <w:bookmarkStart w:id="20" w:name="_Toc289866012"/>
      <w:bookmarkStart w:id="21" w:name="_Toc531949859"/>
      <w:bookmarkStart w:id="22" w:name="_Toc287283255"/>
      <w:bookmarkStart w:id="23" w:name="_Toc289864812"/>
      <w:bookmarkStart w:id="24" w:name="_Toc144837287"/>
      <w:bookmarkStart w:id="25" w:name="_Toc259638685"/>
      <w:bookmarkStart w:id="26" w:name="_Toc134792346"/>
      <w:bookmarkStart w:id="27" w:name="_Toc509660968"/>
      <w:bookmarkStart w:id="28" w:name="_Toc144838353"/>
      <w:bookmarkStart w:id="29" w:name="_Toc289864624"/>
      <w:bookmarkStart w:id="30" w:name="_Toc15936"/>
      <w:bookmarkStart w:id="31" w:name="_Hlk88057076"/>
      <w:r>
        <w:rPr>
          <w:rFonts w:hint="eastAsia" w:ascii="宋体" w:hAnsi="宋体"/>
          <w:b/>
          <w:szCs w:val="28"/>
          <w:highlight w:val="none"/>
        </w:rPr>
        <w:t>评标办法（技术评分合理低价法）</w:t>
      </w:r>
    </w:p>
    <w:bookmarkEnd w:id="20"/>
    <w:bookmarkEnd w:id="21"/>
    <w:bookmarkEnd w:id="22"/>
    <w:bookmarkEnd w:id="23"/>
    <w:bookmarkEnd w:id="24"/>
    <w:bookmarkEnd w:id="25"/>
    <w:bookmarkEnd w:id="26"/>
    <w:bookmarkEnd w:id="27"/>
    <w:bookmarkEnd w:id="28"/>
    <w:bookmarkEnd w:id="29"/>
    <w:bookmarkEnd w:id="30"/>
    <w:bookmarkEnd w:id="31"/>
    <w:p w14:paraId="32E8BD0B">
      <w:pPr>
        <w:pStyle w:val="2"/>
        <w:adjustRightInd w:val="0"/>
        <w:snapToGrid w:val="0"/>
        <w:spacing w:before="0" w:after="0" w:line="360" w:lineRule="auto"/>
        <w:jc w:val="center"/>
        <w:rPr>
          <w:rFonts w:ascii="Times New Roman" w:hAnsi="Times New Roman" w:eastAsia="宋体"/>
          <w:spacing w:val="-2"/>
          <w:sz w:val="24"/>
          <w:szCs w:val="24"/>
          <w:highlight w:val="none"/>
        </w:rPr>
      </w:pPr>
      <w:bookmarkStart w:id="32" w:name="_Toc201074919"/>
      <w:bookmarkStart w:id="33" w:name="_Toc193048001"/>
      <w:r>
        <w:rPr>
          <w:rFonts w:ascii="Times New Roman" w:hAnsi="Times New Roman" w:eastAsia="宋体"/>
          <w:spacing w:val="-2"/>
          <w:sz w:val="24"/>
          <w:szCs w:val="24"/>
          <w:highlight w:val="none"/>
        </w:rPr>
        <w:t>评标办法前附表</w:t>
      </w:r>
      <w:bookmarkEnd w:id="32"/>
      <w:bookmarkEnd w:id="33"/>
    </w:p>
    <w:tbl>
      <w:tblPr>
        <w:tblStyle w:val="7"/>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1559"/>
        <w:gridCol w:w="7028"/>
      </w:tblGrid>
      <w:tr w14:paraId="20029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blHeader/>
          <w:jc w:val="center"/>
        </w:trPr>
        <w:tc>
          <w:tcPr>
            <w:tcW w:w="877" w:type="dxa"/>
            <w:tcBorders>
              <w:top w:val="single" w:color="auto" w:sz="4" w:space="0"/>
              <w:left w:val="single" w:color="auto" w:sz="4" w:space="0"/>
              <w:bottom w:val="single" w:color="auto" w:sz="4" w:space="0"/>
              <w:right w:val="single" w:color="auto" w:sz="4" w:space="0"/>
            </w:tcBorders>
            <w:vAlign w:val="center"/>
          </w:tcPr>
          <w:p w14:paraId="3C43ECCF">
            <w:pPr>
              <w:adjustRightInd w:val="0"/>
              <w:snapToGrid w:val="0"/>
              <w:jc w:val="center"/>
              <w:rPr>
                <w:b/>
                <w:sz w:val="21"/>
                <w:szCs w:val="21"/>
                <w:highlight w:val="none"/>
              </w:rPr>
            </w:pPr>
            <w:r>
              <w:rPr>
                <w:b/>
                <w:sz w:val="21"/>
                <w:szCs w:val="21"/>
                <w:highlight w:val="none"/>
                <w:lang w:bidi="ar"/>
              </w:rPr>
              <w:t>条款号</w:t>
            </w:r>
          </w:p>
        </w:tc>
        <w:tc>
          <w:tcPr>
            <w:tcW w:w="8587" w:type="dxa"/>
            <w:gridSpan w:val="2"/>
            <w:tcBorders>
              <w:top w:val="single" w:color="auto" w:sz="4" w:space="0"/>
              <w:left w:val="single" w:color="auto" w:sz="4" w:space="0"/>
              <w:bottom w:val="single" w:color="auto" w:sz="4" w:space="0"/>
              <w:right w:val="single" w:color="auto" w:sz="4" w:space="0"/>
            </w:tcBorders>
            <w:vAlign w:val="center"/>
          </w:tcPr>
          <w:p w14:paraId="31DCDF73">
            <w:pPr>
              <w:adjustRightInd w:val="0"/>
              <w:snapToGrid w:val="0"/>
              <w:jc w:val="center"/>
              <w:rPr>
                <w:b/>
                <w:sz w:val="21"/>
                <w:szCs w:val="21"/>
                <w:highlight w:val="none"/>
              </w:rPr>
            </w:pPr>
            <w:r>
              <w:rPr>
                <w:b/>
                <w:sz w:val="21"/>
                <w:szCs w:val="21"/>
                <w:highlight w:val="none"/>
                <w:lang w:bidi="ar"/>
              </w:rPr>
              <w:t>评审因素与标准</w:t>
            </w:r>
          </w:p>
        </w:tc>
      </w:tr>
      <w:tr w14:paraId="4A4C4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5"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13A06189">
            <w:pPr>
              <w:adjustRightInd w:val="0"/>
              <w:snapToGrid w:val="0"/>
              <w:jc w:val="center"/>
              <w:rPr>
                <w:sz w:val="21"/>
                <w:szCs w:val="21"/>
                <w:highlight w:val="none"/>
              </w:rPr>
            </w:pPr>
            <w:r>
              <w:rPr>
                <w:sz w:val="21"/>
                <w:szCs w:val="21"/>
                <w:highlight w:val="none"/>
                <w:lang w:bidi="ar"/>
              </w:rPr>
              <w:t>1</w:t>
            </w:r>
          </w:p>
        </w:tc>
        <w:tc>
          <w:tcPr>
            <w:tcW w:w="1559" w:type="dxa"/>
            <w:tcBorders>
              <w:top w:val="single" w:color="auto" w:sz="4" w:space="0"/>
              <w:left w:val="single" w:color="auto" w:sz="4" w:space="0"/>
              <w:bottom w:val="single" w:color="auto" w:sz="4" w:space="0"/>
              <w:right w:val="single" w:color="auto" w:sz="4" w:space="0"/>
            </w:tcBorders>
            <w:vAlign w:val="center"/>
          </w:tcPr>
          <w:p w14:paraId="76F1D5A5">
            <w:pPr>
              <w:adjustRightInd w:val="0"/>
              <w:snapToGrid w:val="0"/>
              <w:jc w:val="center"/>
              <w:rPr>
                <w:sz w:val="21"/>
                <w:szCs w:val="21"/>
                <w:highlight w:val="none"/>
              </w:rPr>
            </w:pPr>
            <w:r>
              <w:rPr>
                <w:sz w:val="21"/>
                <w:szCs w:val="21"/>
                <w:highlight w:val="none"/>
                <w:lang w:bidi="ar"/>
              </w:rPr>
              <w:t>评标办法</w:t>
            </w:r>
          </w:p>
        </w:tc>
        <w:tc>
          <w:tcPr>
            <w:tcW w:w="7028" w:type="dxa"/>
            <w:tcBorders>
              <w:top w:val="single" w:color="auto" w:sz="4" w:space="0"/>
              <w:left w:val="single" w:color="auto" w:sz="4" w:space="0"/>
              <w:bottom w:val="single" w:color="auto" w:sz="4" w:space="0"/>
              <w:right w:val="single" w:color="auto" w:sz="4" w:space="0"/>
            </w:tcBorders>
            <w:vAlign w:val="center"/>
          </w:tcPr>
          <w:p w14:paraId="1FF15177">
            <w:pPr>
              <w:adjustRightInd w:val="0"/>
              <w:snapToGrid w:val="0"/>
              <w:jc w:val="left"/>
              <w:rPr>
                <w:b/>
                <w:sz w:val="21"/>
                <w:szCs w:val="21"/>
                <w:highlight w:val="none"/>
                <w:lang w:bidi="ar"/>
              </w:rPr>
            </w:pPr>
            <w:r>
              <w:rPr>
                <w:b/>
                <w:sz w:val="21"/>
                <w:szCs w:val="21"/>
                <w:highlight w:val="none"/>
                <w:lang w:bidi="ar"/>
              </w:rPr>
              <w:t>本款修改为：</w:t>
            </w:r>
          </w:p>
          <w:p w14:paraId="2010962E">
            <w:pPr>
              <w:adjustRightInd w:val="0"/>
              <w:snapToGrid w:val="0"/>
              <w:jc w:val="left"/>
              <w:rPr>
                <w:sz w:val="21"/>
                <w:szCs w:val="21"/>
                <w:highlight w:val="none"/>
                <w:lang w:bidi="ar"/>
              </w:rPr>
            </w:pPr>
            <w:r>
              <w:rPr>
                <w:rFonts w:hint="eastAsia"/>
                <w:sz w:val="21"/>
                <w:szCs w:val="21"/>
                <w:highlight w:val="none"/>
                <w:lang w:bidi="ar"/>
              </w:rPr>
              <w:t>本次评标采用合理低价法，双信封形式。</w:t>
            </w:r>
          </w:p>
          <w:p w14:paraId="5CA06C19">
            <w:pPr>
              <w:adjustRightInd w:val="0"/>
              <w:snapToGrid w:val="0"/>
              <w:jc w:val="left"/>
              <w:rPr>
                <w:sz w:val="21"/>
                <w:szCs w:val="21"/>
                <w:highlight w:val="none"/>
                <w:lang w:bidi="ar"/>
              </w:rPr>
            </w:pPr>
            <w:r>
              <w:rPr>
                <w:rFonts w:hint="eastAsia"/>
                <w:sz w:val="21"/>
                <w:szCs w:val="21"/>
                <w:highlight w:val="none"/>
                <w:lang w:bidi="ar"/>
              </w:rPr>
              <w:t>评标委员会对满足招标文件实质性要求的投标文件，按照本章第2.2款规定的评分标准进行打分，并按得分由高到低顺序推荐1-3名中标候选人。</w:t>
            </w:r>
            <w:r>
              <w:rPr>
                <w:rFonts w:hint="eastAsia" w:ascii="宋体" w:hAnsi="宋体"/>
                <w:spacing w:val="-4"/>
                <w:kern w:val="2"/>
                <w:sz w:val="21"/>
                <w:szCs w:val="21"/>
                <w:highlight w:val="none"/>
              </w:rPr>
              <w:t>评分相等时，评标委员会依次按照以下优先顺序推荐中标候选人：</w:t>
            </w:r>
          </w:p>
          <w:p w14:paraId="70EA9925">
            <w:pPr>
              <w:numPr>
                <w:ilvl w:val="0"/>
                <w:numId w:val="0"/>
              </w:numPr>
              <w:adjustRightInd w:val="0"/>
              <w:snapToGrid w:val="0"/>
              <w:jc w:val="left"/>
              <w:rPr>
                <w:rFonts w:hint="eastAsia"/>
                <w:sz w:val="21"/>
                <w:szCs w:val="21"/>
                <w:highlight w:val="none"/>
                <w:lang w:bidi="ar"/>
              </w:rPr>
            </w:pPr>
            <w:r>
              <w:rPr>
                <w:rFonts w:hint="eastAsia" w:ascii="Times New Roman" w:hAnsi="Times New Roman" w:eastAsia="宋体" w:cs="Times New Roman"/>
                <w:kern w:val="28"/>
                <w:sz w:val="21"/>
                <w:szCs w:val="21"/>
                <w:highlight w:val="none"/>
                <w:lang w:val="en-US" w:eastAsia="zh-CN" w:bidi="ar"/>
              </w:rPr>
              <w:t>（1）</w:t>
            </w:r>
            <w:r>
              <w:rPr>
                <w:rFonts w:hint="eastAsia"/>
                <w:sz w:val="21"/>
                <w:szCs w:val="21"/>
                <w:highlight w:val="none"/>
                <w:lang w:val="en-US" w:eastAsia="zh-CN" w:bidi="ar"/>
              </w:rPr>
              <w:t>评标价</w:t>
            </w:r>
            <w:r>
              <w:rPr>
                <w:rFonts w:hint="eastAsia"/>
                <w:sz w:val="21"/>
                <w:szCs w:val="21"/>
                <w:highlight w:val="none"/>
                <w:lang w:bidi="ar"/>
              </w:rPr>
              <w:t>低的优先；</w:t>
            </w:r>
          </w:p>
          <w:p w14:paraId="40610087">
            <w:pPr>
              <w:numPr>
                <w:ilvl w:val="0"/>
                <w:numId w:val="0"/>
              </w:numPr>
              <w:adjustRightInd w:val="0"/>
              <w:snapToGrid w:val="0"/>
              <w:jc w:val="both"/>
              <w:rPr>
                <w:sz w:val="21"/>
                <w:szCs w:val="21"/>
                <w:highlight w:val="none"/>
                <w:lang w:bidi="ar"/>
              </w:rPr>
            </w:pPr>
            <w:r>
              <w:rPr>
                <w:rFonts w:ascii="Times New Roman" w:hAnsi="Times New Roman" w:eastAsia="宋体" w:cs="Times New Roman"/>
                <w:kern w:val="28"/>
                <w:sz w:val="21"/>
                <w:szCs w:val="21"/>
                <w:highlight w:val="none"/>
                <w:lang w:val="en-US" w:eastAsia="zh-CN" w:bidi="ar"/>
              </w:rPr>
              <w:t>（2）</w:t>
            </w:r>
            <w:r>
              <w:rPr>
                <w:rFonts w:hint="eastAsia"/>
                <w:sz w:val="21"/>
                <w:szCs w:val="21"/>
                <w:highlight w:val="none"/>
                <w:lang w:bidi="ar"/>
              </w:rPr>
              <w:t>投标人满足资格审查条件(业绩最低条件)要求的</w:t>
            </w:r>
            <w:r>
              <w:rPr>
                <w:rFonts w:hint="eastAsia"/>
                <w:sz w:val="21"/>
                <w:szCs w:val="21"/>
                <w:highlight w:val="none"/>
                <w:lang w:eastAsia="zh-CN" w:bidi="ar"/>
              </w:rPr>
              <w:t>单项</w:t>
            </w:r>
            <w:r>
              <w:rPr>
                <w:rFonts w:hint="eastAsia"/>
                <w:sz w:val="21"/>
                <w:szCs w:val="21"/>
                <w:highlight w:val="none"/>
                <w:lang w:bidi="ar"/>
              </w:rPr>
              <w:t>合同</w:t>
            </w:r>
            <w:r>
              <w:rPr>
                <w:rFonts w:hint="eastAsia"/>
                <w:sz w:val="21"/>
                <w:szCs w:val="21"/>
                <w:highlight w:val="none"/>
                <w:lang w:eastAsia="zh-CN" w:bidi="ar"/>
              </w:rPr>
              <w:t>金</w:t>
            </w:r>
            <w:r>
              <w:rPr>
                <w:rFonts w:hint="eastAsia"/>
                <w:sz w:val="21"/>
                <w:szCs w:val="21"/>
                <w:highlight w:val="none"/>
                <w:lang w:bidi="ar"/>
              </w:rPr>
              <w:t>额高的优先。</w:t>
            </w:r>
          </w:p>
        </w:tc>
      </w:tr>
      <w:tr w14:paraId="5174C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7" w:type="dxa"/>
            <w:tcBorders>
              <w:top w:val="single" w:color="auto" w:sz="4" w:space="0"/>
              <w:left w:val="single" w:color="auto" w:sz="4" w:space="0"/>
              <w:bottom w:val="single" w:color="auto" w:sz="4" w:space="0"/>
              <w:right w:val="single" w:color="auto" w:sz="4" w:space="0"/>
            </w:tcBorders>
            <w:vAlign w:val="center"/>
          </w:tcPr>
          <w:p w14:paraId="5C65C416">
            <w:pPr>
              <w:adjustRightInd w:val="0"/>
              <w:snapToGrid w:val="0"/>
              <w:jc w:val="center"/>
              <w:rPr>
                <w:sz w:val="21"/>
                <w:szCs w:val="21"/>
                <w:highlight w:val="none"/>
              </w:rPr>
            </w:pPr>
            <w:r>
              <w:rPr>
                <w:sz w:val="21"/>
                <w:szCs w:val="21"/>
                <w:highlight w:val="none"/>
              </w:rPr>
              <w:t>2.1.1</w:t>
            </w:r>
          </w:p>
          <w:p w14:paraId="46AD3169">
            <w:pPr>
              <w:adjustRightInd w:val="0"/>
              <w:snapToGrid w:val="0"/>
              <w:jc w:val="center"/>
              <w:rPr>
                <w:sz w:val="21"/>
                <w:szCs w:val="21"/>
                <w:highlight w:val="none"/>
              </w:rPr>
            </w:pPr>
            <w:r>
              <w:rPr>
                <w:sz w:val="21"/>
                <w:szCs w:val="21"/>
                <w:highlight w:val="none"/>
              </w:rPr>
              <w:t>2.1.3</w:t>
            </w:r>
          </w:p>
        </w:tc>
        <w:tc>
          <w:tcPr>
            <w:tcW w:w="1559" w:type="dxa"/>
            <w:tcBorders>
              <w:top w:val="single" w:color="auto" w:sz="4" w:space="0"/>
              <w:left w:val="single" w:color="auto" w:sz="4" w:space="0"/>
              <w:bottom w:val="single" w:color="auto" w:sz="4" w:space="0"/>
              <w:right w:val="single" w:color="auto" w:sz="4" w:space="0"/>
            </w:tcBorders>
            <w:vAlign w:val="center"/>
          </w:tcPr>
          <w:p w14:paraId="495121C3">
            <w:pPr>
              <w:adjustRightInd w:val="0"/>
              <w:snapToGrid w:val="0"/>
              <w:jc w:val="center"/>
              <w:rPr>
                <w:sz w:val="21"/>
                <w:szCs w:val="21"/>
                <w:highlight w:val="none"/>
                <w:lang w:bidi="ar"/>
              </w:rPr>
            </w:pPr>
            <w:r>
              <w:rPr>
                <w:sz w:val="21"/>
                <w:szCs w:val="21"/>
                <w:highlight w:val="none"/>
                <w:lang w:bidi="ar"/>
              </w:rPr>
              <w:t>形式评审</w:t>
            </w:r>
          </w:p>
          <w:p w14:paraId="2F23DA3B">
            <w:pPr>
              <w:adjustRightInd w:val="0"/>
              <w:snapToGrid w:val="0"/>
              <w:jc w:val="center"/>
              <w:rPr>
                <w:sz w:val="21"/>
                <w:szCs w:val="21"/>
                <w:highlight w:val="none"/>
                <w:lang w:bidi="ar"/>
              </w:rPr>
            </w:pPr>
            <w:r>
              <w:rPr>
                <w:sz w:val="21"/>
                <w:szCs w:val="21"/>
                <w:highlight w:val="none"/>
                <w:lang w:bidi="ar"/>
              </w:rPr>
              <w:t>与响应性</w:t>
            </w:r>
          </w:p>
          <w:p w14:paraId="10BB7700">
            <w:pPr>
              <w:adjustRightInd w:val="0"/>
              <w:snapToGrid w:val="0"/>
              <w:jc w:val="center"/>
              <w:rPr>
                <w:sz w:val="21"/>
                <w:szCs w:val="21"/>
                <w:highlight w:val="none"/>
                <w:lang w:bidi="ar"/>
              </w:rPr>
            </w:pPr>
            <w:r>
              <w:rPr>
                <w:sz w:val="21"/>
                <w:szCs w:val="21"/>
                <w:highlight w:val="none"/>
                <w:lang w:bidi="ar"/>
              </w:rPr>
              <w:t>评审标准</w:t>
            </w:r>
          </w:p>
        </w:tc>
        <w:tc>
          <w:tcPr>
            <w:tcW w:w="7028" w:type="dxa"/>
            <w:tcBorders>
              <w:top w:val="single" w:color="auto" w:sz="4" w:space="0"/>
              <w:left w:val="single" w:color="auto" w:sz="4" w:space="0"/>
              <w:bottom w:val="single" w:color="auto" w:sz="4" w:space="0"/>
              <w:right w:val="single" w:color="auto" w:sz="4" w:space="0"/>
            </w:tcBorders>
          </w:tcPr>
          <w:p w14:paraId="6284CC8C">
            <w:pPr>
              <w:tabs>
                <w:tab w:val="left" w:pos="3060"/>
              </w:tabs>
              <w:adjustRightInd w:val="0"/>
              <w:snapToGrid w:val="0"/>
              <w:rPr>
                <w:rFonts w:hint="eastAsia" w:ascii="宋体" w:hAnsi="宋体" w:cs="宋体"/>
                <w:b/>
                <w:sz w:val="21"/>
                <w:szCs w:val="21"/>
                <w:highlight w:val="none"/>
              </w:rPr>
            </w:pPr>
            <w:r>
              <w:rPr>
                <w:rFonts w:hint="eastAsia" w:ascii="宋体" w:hAnsi="宋体" w:cs="宋体"/>
                <w:b/>
                <w:sz w:val="21"/>
                <w:szCs w:val="21"/>
                <w:highlight w:val="none"/>
              </w:rPr>
              <w:t>第一个信封（商务文件）评审标准:</w:t>
            </w:r>
          </w:p>
          <w:p w14:paraId="7C7672DE">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（1）投标文件按照招标文件规定的格式、内容填写，字迹清晰可辨：</w:t>
            </w:r>
          </w:p>
          <w:p w14:paraId="27EC9C9A">
            <w:pPr>
              <w:spacing w:line="288" w:lineRule="auto"/>
              <w:ind w:firstLine="386" w:firstLineChars="184"/>
              <w:jc w:val="left"/>
              <w:rPr>
                <w:rFonts w:hint="eastAsia" w:ascii="宋体" w:hAnsi="宋体" w:cs="宋体"/>
                <w:sz w:val="21"/>
                <w:szCs w:val="21"/>
                <w:highlight w:val="none"/>
                <w:lang w:eastAsia="zh-CN"/>
              </w:rPr>
            </w:pPr>
            <w:r>
              <w:rPr>
                <w:rFonts w:hint="eastAsia" w:ascii="宋体" w:hAnsi="宋体" w:cs="宋体"/>
                <w:sz w:val="21"/>
                <w:szCs w:val="21"/>
                <w:highlight w:val="none"/>
              </w:rPr>
              <w:t>a.投标函按招标文件规定填报了项目名称、补遗书编号（如有）、</w:t>
            </w:r>
            <w:r>
              <w:rPr>
                <w:rFonts w:hint="eastAsia" w:ascii="宋体" w:hAnsi="宋体" w:cs="宋体"/>
                <w:sz w:val="21"/>
                <w:szCs w:val="21"/>
                <w:highlight w:val="none"/>
                <w:lang w:val="en-US" w:eastAsia="zh-CN"/>
              </w:rPr>
              <w:t>质量要求</w:t>
            </w:r>
            <w:r>
              <w:rPr>
                <w:rFonts w:hint="eastAsia" w:ascii="宋体" w:hAnsi="宋体" w:cs="宋体"/>
                <w:sz w:val="21"/>
                <w:szCs w:val="21"/>
                <w:highlight w:val="none"/>
              </w:rPr>
              <w:t>、安全目标、工期、项目</w:t>
            </w:r>
            <w:r>
              <w:rPr>
                <w:rFonts w:hint="eastAsia" w:ascii="宋体" w:hAnsi="宋体" w:cs="宋体"/>
                <w:sz w:val="21"/>
                <w:szCs w:val="21"/>
                <w:highlight w:val="none"/>
                <w:lang w:val="en-US" w:eastAsia="zh-CN"/>
              </w:rPr>
              <w:t>经理</w:t>
            </w:r>
            <w:r>
              <w:rPr>
                <w:rFonts w:hint="eastAsia" w:ascii="宋体" w:hAnsi="宋体" w:cs="宋体"/>
                <w:strike w:val="0"/>
                <w:dstrike w:val="0"/>
                <w:sz w:val="21"/>
                <w:szCs w:val="21"/>
                <w:highlight w:val="none"/>
              </w:rPr>
              <w:t>信息</w:t>
            </w:r>
            <w:r>
              <w:rPr>
                <w:rFonts w:hint="eastAsia" w:ascii="宋体" w:hAnsi="宋体" w:cs="宋体"/>
                <w:sz w:val="21"/>
                <w:szCs w:val="21"/>
                <w:highlight w:val="none"/>
              </w:rPr>
              <w:t>，未对招标人名称进行修改</w:t>
            </w:r>
            <w:r>
              <w:rPr>
                <w:rFonts w:hint="eastAsia" w:ascii="宋体" w:hAnsi="宋体" w:cs="宋体"/>
                <w:sz w:val="21"/>
                <w:szCs w:val="21"/>
                <w:highlight w:val="none"/>
                <w:lang w:eastAsia="zh-CN"/>
              </w:rPr>
              <w:t>；</w:t>
            </w:r>
          </w:p>
          <w:p w14:paraId="656A80C4">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b.投标函附录的所有数据均符合招标文件规定；</w:t>
            </w:r>
          </w:p>
          <w:p w14:paraId="0618507A">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c.投标文件组成齐全完整，内容均按规定填写。</w:t>
            </w:r>
          </w:p>
          <w:p w14:paraId="33AAF071">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（2）投标文件上法定代表人或其授权代理人的签字、投标人的单位章盖章齐全，符合招标文件规定。</w:t>
            </w:r>
          </w:p>
          <w:p w14:paraId="2B5016F1">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（3）投标人按照招标文件的规定提供了投标保证金，并符合投标人须知前附表3.4.1项的相关规定。</w:t>
            </w:r>
          </w:p>
          <w:p w14:paraId="249A755E">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（4）投标人法定代表人授权委托代理人签署投标文件的，须提交授权委托书，授权委托书符合招标文件规定。</w:t>
            </w:r>
          </w:p>
          <w:p w14:paraId="7CD882BA">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（5）投标人法定代表人亲自签署投标文件的，须提供法定代表人身份证明，法定代表人身份证明符合招标文件规定。</w:t>
            </w:r>
          </w:p>
          <w:p w14:paraId="31010CB6">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（6）投标人</w:t>
            </w:r>
            <w:r>
              <w:rPr>
                <w:rFonts w:hint="eastAsia" w:ascii="宋体" w:hAnsi="宋体" w:cs="宋体"/>
                <w:sz w:val="21"/>
                <w:szCs w:val="21"/>
                <w:highlight w:val="none"/>
                <w:lang w:val="en-US" w:eastAsia="zh-CN"/>
              </w:rPr>
              <w:t>未</w:t>
            </w:r>
            <w:r>
              <w:rPr>
                <w:rFonts w:hint="eastAsia" w:ascii="宋体" w:hAnsi="宋体" w:cs="宋体"/>
                <w:sz w:val="21"/>
                <w:szCs w:val="21"/>
                <w:highlight w:val="none"/>
              </w:rPr>
              <w:t>以</w:t>
            </w:r>
            <w:r>
              <w:rPr>
                <w:rFonts w:hint="eastAsia" w:ascii="宋体" w:hAnsi="宋体" w:cs="宋体"/>
                <w:sz w:val="21"/>
                <w:szCs w:val="21"/>
                <w:highlight w:val="none"/>
                <w:lang w:val="en-US" w:eastAsia="zh-CN"/>
              </w:rPr>
              <w:t>联合体的形式投标</w:t>
            </w:r>
            <w:r>
              <w:rPr>
                <w:rFonts w:hint="eastAsia" w:ascii="宋体" w:hAnsi="宋体" w:cs="宋体"/>
                <w:sz w:val="21"/>
                <w:szCs w:val="21"/>
                <w:highlight w:val="none"/>
              </w:rPr>
              <w:t>。</w:t>
            </w:r>
          </w:p>
          <w:p w14:paraId="6AA45BCB">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（7）同一投标人未对本项目提交两个以上不同的投标文件。</w:t>
            </w:r>
          </w:p>
          <w:p w14:paraId="6F4B7810">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（8）投标文件第一个信封（商务及技术文件）中未出现有关投标报价的内容。</w:t>
            </w:r>
          </w:p>
          <w:p w14:paraId="7317AAD8">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（9）投标文件载明的招标项目完成期限，符合招标文件规定。</w:t>
            </w:r>
          </w:p>
          <w:p w14:paraId="2683FC85">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（10）投标文件对招标文件的实质性要求和条件作出响应。</w:t>
            </w:r>
          </w:p>
          <w:p w14:paraId="7036E55C">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（11）权利义务符合招标文件规定：</w:t>
            </w:r>
          </w:p>
          <w:p w14:paraId="67CD48A6">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a.投标人应接受招标文件规定的风险划分原则，未提出新的风险划分办法；</w:t>
            </w:r>
          </w:p>
          <w:p w14:paraId="00579F60">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b.投标人未增加发包人的责任范围，或减少投标人义务；</w:t>
            </w:r>
          </w:p>
          <w:p w14:paraId="508451F1">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c.投标人未提出不同的支付办法；</w:t>
            </w:r>
          </w:p>
          <w:p w14:paraId="7A553F91">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d.投标人对合同纠纷、事故处理办法未提出异议；</w:t>
            </w:r>
          </w:p>
          <w:p w14:paraId="68E6DE79">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e.投标人在投标活动中无欺诈行为；</w:t>
            </w:r>
          </w:p>
          <w:p w14:paraId="156FD289">
            <w:pPr>
              <w:snapToGrid w:val="0"/>
              <w:spacing w:line="380" w:lineRule="exact"/>
              <w:ind w:firstLine="420" w:firstLineChars="200"/>
              <w:rPr>
                <w:rFonts w:hint="eastAsia" w:ascii="宋体" w:hAnsi="宋体" w:cs="宋体"/>
                <w:sz w:val="21"/>
                <w:szCs w:val="21"/>
                <w:highlight w:val="none"/>
              </w:rPr>
            </w:pPr>
            <w:r>
              <w:rPr>
                <w:rFonts w:hint="eastAsia" w:ascii="宋体" w:hAnsi="宋体" w:cs="宋体"/>
                <w:sz w:val="21"/>
                <w:szCs w:val="21"/>
                <w:highlight w:val="none"/>
              </w:rPr>
              <w:t>f.投标人未对合同条款有重要保留。</w:t>
            </w:r>
          </w:p>
          <w:p w14:paraId="3E86E308">
            <w:pPr>
              <w:snapToGrid w:val="0"/>
              <w:spacing w:line="380" w:lineRule="exact"/>
              <w:ind w:firstLine="420" w:firstLineChars="200"/>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12</w:t>
            </w:r>
            <w:r>
              <w:rPr>
                <w:rFonts w:hint="eastAsia" w:ascii="宋体" w:hAnsi="宋体" w:cs="宋体"/>
                <w:sz w:val="21"/>
                <w:szCs w:val="21"/>
                <w:highlight w:val="none"/>
                <w:lang w:eastAsia="zh-CN"/>
              </w:rPr>
              <w:t>）</w:t>
            </w:r>
            <w:ins w:id="0" w:author="鲁鹏" w:date="2026-07-29T15:27:28Z">
              <w:r>
                <w:rPr>
                  <w:rFonts w:hint="eastAsia" w:ascii="宋体" w:hAnsi="宋体" w:cs="宋体"/>
                  <w:sz w:val="21"/>
                  <w:szCs w:val="21"/>
                  <w:highlight w:val="none"/>
                  <w:lang w:val="en-US" w:eastAsia="zh-CN"/>
                </w:rPr>
                <w:t>投标人</w:t>
              </w:r>
            </w:ins>
            <w:ins w:id="1" w:author="鲁鹏" w:date="2026-07-29T15:27:30Z">
              <w:r>
                <w:rPr>
                  <w:rFonts w:hint="eastAsia" w:ascii="宋体" w:hAnsi="宋体" w:cs="宋体"/>
                  <w:sz w:val="21"/>
                  <w:szCs w:val="21"/>
                  <w:highlight w:val="none"/>
                  <w:lang w:val="en-US" w:eastAsia="zh-CN"/>
                </w:rPr>
                <w:t>未对</w:t>
              </w:r>
            </w:ins>
            <w:ins w:id="2" w:author="鲁鹏" w:date="2026-07-29T15:27:32Z">
              <w:r>
                <w:rPr>
                  <w:rFonts w:hint="eastAsia" w:ascii="宋体" w:hAnsi="宋体" w:cs="宋体"/>
                  <w:sz w:val="21"/>
                  <w:szCs w:val="21"/>
                  <w:highlight w:val="none"/>
                  <w:lang w:val="en-US" w:eastAsia="zh-CN"/>
                </w:rPr>
                <w:t>本项目</w:t>
              </w:r>
            </w:ins>
            <w:ins w:id="3" w:author="鲁鹏" w:date="2026-07-29T15:27:34Z">
              <w:r>
                <w:rPr>
                  <w:rFonts w:hint="eastAsia" w:ascii="宋体" w:hAnsi="宋体" w:cs="宋体"/>
                  <w:sz w:val="21"/>
                  <w:szCs w:val="21"/>
                  <w:highlight w:val="none"/>
                  <w:lang w:val="en-US" w:eastAsia="zh-CN"/>
                </w:rPr>
                <w:t>进行</w:t>
              </w:r>
            </w:ins>
            <w:ins w:id="4" w:author="鲁鹏" w:date="2026-07-29T15:27:35Z">
              <w:r>
                <w:rPr>
                  <w:rFonts w:hint="eastAsia" w:ascii="宋体" w:hAnsi="宋体" w:cs="宋体"/>
                  <w:sz w:val="21"/>
                  <w:szCs w:val="21"/>
                  <w:highlight w:val="none"/>
                  <w:lang w:val="en-US" w:eastAsia="zh-CN"/>
                </w:rPr>
                <w:t>分包</w:t>
              </w:r>
            </w:ins>
            <w:ins w:id="5" w:author="鲁鹏" w:date="2026-07-29T15:27:50Z">
              <w:r>
                <w:rPr>
                  <w:rFonts w:hint="eastAsia" w:ascii="宋体" w:hAnsi="宋体" w:cs="宋体"/>
                  <w:sz w:val="21"/>
                  <w:szCs w:val="21"/>
                  <w:highlight w:val="none"/>
                  <w:lang w:val="en-US" w:eastAsia="zh-CN"/>
                </w:rPr>
                <w:t>。</w:t>
              </w:r>
            </w:ins>
          </w:p>
          <w:p w14:paraId="2E1E7E43">
            <w:pPr>
              <w:tabs>
                <w:tab w:val="left" w:pos="3060"/>
              </w:tabs>
              <w:spacing w:line="288" w:lineRule="auto"/>
              <w:rPr>
                <w:rFonts w:hint="eastAsia" w:ascii="宋体" w:hAnsi="宋体" w:cs="宋体"/>
                <w:b/>
                <w:bCs/>
                <w:sz w:val="21"/>
                <w:szCs w:val="21"/>
                <w:highlight w:val="none"/>
              </w:rPr>
            </w:pPr>
            <w:r>
              <w:rPr>
                <w:rFonts w:hint="eastAsia" w:ascii="宋体" w:hAnsi="宋体" w:cs="宋体"/>
                <w:b/>
                <w:bCs/>
                <w:sz w:val="21"/>
                <w:szCs w:val="21"/>
                <w:highlight w:val="none"/>
              </w:rPr>
              <w:t>第一个信封（技术文件）评审标准:</w:t>
            </w:r>
          </w:p>
          <w:p w14:paraId="08689733">
            <w:pPr>
              <w:tabs>
                <w:tab w:val="left" w:pos="3060"/>
              </w:tabs>
              <w:spacing w:line="288"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（1）</w:t>
            </w:r>
            <w:r>
              <w:rPr>
                <w:rFonts w:hint="eastAsia" w:ascii="宋体" w:hAnsi="宋体" w:cs="宋体"/>
                <w:sz w:val="21"/>
                <w:szCs w:val="21"/>
                <w:highlight w:val="none"/>
                <w:lang w:val="en-US" w:eastAsia="zh-CN"/>
              </w:rPr>
              <w:t>施工组织设计</w:t>
            </w:r>
            <w:r>
              <w:rPr>
                <w:rFonts w:hint="eastAsia" w:ascii="宋体" w:hAnsi="宋体" w:cs="宋体"/>
                <w:sz w:val="21"/>
                <w:szCs w:val="21"/>
                <w:highlight w:val="none"/>
              </w:rPr>
              <w:t>（暗标）符合招标文件第二章“投标人须知前附表”第</w:t>
            </w:r>
            <w:r>
              <w:rPr>
                <w:rFonts w:hint="eastAsia" w:ascii="宋体" w:hAnsi="宋体" w:cs="宋体"/>
                <w:sz w:val="21"/>
                <w:szCs w:val="21"/>
                <w:highlight w:val="none"/>
                <w:lang w:val="en-US" w:eastAsia="zh-CN"/>
              </w:rPr>
              <w:t>10</w:t>
            </w:r>
            <w:r>
              <w:rPr>
                <w:rFonts w:hint="eastAsia" w:ascii="宋体" w:hAnsi="宋体" w:cs="宋体"/>
                <w:sz w:val="21"/>
                <w:szCs w:val="21"/>
                <w:highlight w:val="none"/>
              </w:rPr>
              <w:t>.2款的规定。</w:t>
            </w:r>
          </w:p>
          <w:p w14:paraId="39077207">
            <w:pPr>
              <w:tabs>
                <w:tab w:val="left" w:pos="3060"/>
              </w:tabs>
              <w:spacing w:line="288" w:lineRule="auto"/>
              <w:rPr>
                <w:rFonts w:hint="eastAsia" w:ascii="宋体" w:hAnsi="宋体" w:cs="宋体"/>
                <w:b/>
                <w:sz w:val="21"/>
                <w:szCs w:val="21"/>
                <w:highlight w:val="none"/>
              </w:rPr>
            </w:pPr>
            <w:r>
              <w:rPr>
                <w:rFonts w:hint="eastAsia" w:ascii="宋体" w:hAnsi="宋体" w:cs="宋体"/>
                <w:b/>
                <w:sz w:val="21"/>
                <w:szCs w:val="21"/>
                <w:highlight w:val="none"/>
              </w:rPr>
              <w:t>第二个信封（报价文件）评审标准：</w:t>
            </w:r>
          </w:p>
          <w:p w14:paraId="52E4DD60">
            <w:pPr>
              <w:spacing w:line="288" w:lineRule="auto"/>
              <w:ind w:firstLine="386" w:firstLineChars="184"/>
              <w:jc w:val="left"/>
              <w:rPr>
                <w:rFonts w:hint="eastAsia" w:ascii="宋体" w:hAnsi="宋体" w:cs="宋体"/>
                <w:bCs/>
                <w:sz w:val="21"/>
                <w:szCs w:val="21"/>
                <w:highlight w:val="none"/>
              </w:rPr>
            </w:pPr>
            <w:r>
              <w:rPr>
                <w:rFonts w:hint="eastAsia" w:ascii="宋体" w:hAnsi="宋体" w:cs="宋体"/>
                <w:sz w:val="21"/>
                <w:szCs w:val="21"/>
                <w:highlight w:val="none"/>
              </w:rPr>
              <w:t>（1）投标文件按照招标文件规定的格式、内容填写，字迹清晰可辨：</w:t>
            </w:r>
          </w:p>
          <w:p w14:paraId="7D2D4D5B">
            <w:pPr>
              <w:spacing w:line="288" w:lineRule="auto"/>
              <w:ind w:firstLine="386" w:firstLineChars="184"/>
              <w:jc w:val="left"/>
              <w:rPr>
                <w:rFonts w:hint="eastAsia" w:ascii="宋体" w:hAnsi="宋体" w:cs="宋体"/>
                <w:bCs/>
                <w:sz w:val="21"/>
                <w:szCs w:val="21"/>
                <w:highlight w:val="none"/>
                <w:lang w:eastAsia="zh-CN"/>
              </w:rPr>
            </w:pPr>
            <w:r>
              <w:rPr>
                <w:rFonts w:hint="eastAsia" w:ascii="宋体" w:hAnsi="宋体" w:cs="宋体"/>
                <w:bCs/>
                <w:sz w:val="21"/>
                <w:szCs w:val="21"/>
                <w:highlight w:val="none"/>
              </w:rPr>
              <w:t>a.</w:t>
            </w:r>
            <w:r>
              <w:rPr>
                <w:rFonts w:hint="eastAsia" w:ascii="宋体" w:hAnsi="宋体" w:cs="宋体"/>
                <w:bCs/>
                <w:sz w:val="21"/>
                <w:szCs w:val="21"/>
                <w:highlight w:val="none"/>
                <w:lang w:eastAsia="zh-CN"/>
              </w:rPr>
              <w:t>报价</w:t>
            </w:r>
            <w:r>
              <w:rPr>
                <w:rFonts w:hint="eastAsia" w:ascii="宋体" w:hAnsi="宋体" w:cs="宋体"/>
                <w:bCs/>
                <w:sz w:val="21"/>
                <w:szCs w:val="21"/>
                <w:highlight w:val="none"/>
              </w:rPr>
              <w:t>函按招标文件规定填报了项目名称、补遗书编号（如有）、投标报价（包括大写金额和小写金额），未对招标人名称进行修改</w:t>
            </w:r>
            <w:r>
              <w:rPr>
                <w:rFonts w:hint="eastAsia" w:ascii="宋体" w:hAnsi="宋体" w:cs="宋体"/>
                <w:bCs/>
                <w:sz w:val="21"/>
                <w:szCs w:val="21"/>
                <w:highlight w:val="none"/>
                <w:lang w:eastAsia="zh-CN"/>
              </w:rPr>
              <w:t>；</w:t>
            </w:r>
          </w:p>
          <w:p w14:paraId="4C5AF863">
            <w:pPr>
              <w:spacing w:line="288" w:lineRule="auto"/>
              <w:ind w:firstLine="386" w:firstLineChars="184"/>
              <w:jc w:val="left"/>
              <w:rPr>
                <w:rFonts w:hint="eastAsia" w:ascii="宋体" w:hAnsi="宋体" w:cs="宋体"/>
                <w:bCs/>
                <w:sz w:val="21"/>
                <w:szCs w:val="21"/>
                <w:highlight w:val="none"/>
              </w:rPr>
            </w:pPr>
            <w:r>
              <w:rPr>
                <w:rFonts w:hint="eastAsia" w:ascii="宋体" w:hAnsi="宋体" w:cs="宋体"/>
                <w:bCs/>
                <w:sz w:val="21"/>
                <w:szCs w:val="21"/>
                <w:highlight w:val="none"/>
              </w:rPr>
              <w:t>b.</w:t>
            </w:r>
            <w:r>
              <w:rPr>
                <w:rFonts w:hint="eastAsia" w:ascii="宋体" w:hAnsi="宋体" w:cs="宋体"/>
                <w:bCs/>
                <w:sz w:val="21"/>
                <w:szCs w:val="21"/>
                <w:highlight w:val="none"/>
                <w:lang w:val="en-US" w:eastAsia="zh-CN"/>
              </w:rPr>
              <w:t>工程量固化清单</w:t>
            </w:r>
            <w:ins w:id="6" w:author="鲁鹏" w:date="2026-07-29T15:28:03Z">
              <w:r>
                <w:rPr>
                  <w:rFonts w:hint="eastAsia" w:ascii="宋体" w:hAnsi="宋体" w:cs="宋体"/>
                  <w:bCs/>
                  <w:sz w:val="21"/>
                  <w:szCs w:val="21"/>
                  <w:highlight w:val="none"/>
                  <w:lang w:val="en-US" w:eastAsia="zh-CN"/>
                </w:rPr>
                <w:t>文字</w:t>
              </w:r>
            </w:ins>
            <w:ins w:id="7" w:author="鲁鹏" w:date="2026-07-29T15:28:04Z">
              <w:r>
                <w:rPr>
                  <w:rFonts w:hint="eastAsia" w:ascii="宋体" w:hAnsi="宋体" w:cs="宋体"/>
                  <w:bCs/>
                  <w:sz w:val="21"/>
                  <w:szCs w:val="21"/>
                  <w:highlight w:val="none"/>
                  <w:lang w:val="en-US" w:eastAsia="zh-CN"/>
                </w:rPr>
                <w:t>说明</w:t>
              </w:r>
            </w:ins>
            <w:r>
              <w:rPr>
                <w:rFonts w:hint="eastAsia" w:ascii="宋体" w:hAnsi="宋体" w:cs="宋体"/>
                <w:bCs/>
                <w:sz w:val="21"/>
                <w:szCs w:val="21"/>
                <w:highlight w:val="none"/>
              </w:rPr>
              <w:t>与招标文件规定一致，未进行实质性修改和删减；</w:t>
            </w:r>
          </w:p>
          <w:p w14:paraId="13E261B8">
            <w:pPr>
              <w:spacing w:line="288" w:lineRule="auto"/>
              <w:ind w:firstLine="386" w:firstLineChars="184"/>
              <w:jc w:val="left"/>
              <w:rPr>
                <w:rFonts w:hint="eastAsia" w:ascii="宋体" w:hAnsi="宋体" w:cs="宋体"/>
                <w:bCs/>
                <w:sz w:val="21"/>
                <w:szCs w:val="21"/>
                <w:highlight w:val="none"/>
              </w:rPr>
            </w:pPr>
            <w:r>
              <w:rPr>
                <w:rFonts w:hint="eastAsia" w:ascii="宋体" w:hAnsi="宋体" w:cs="宋体"/>
                <w:bCs/>
                <w:sz w:val="21"/>
                <w:szCs w:val="21"/>
                <w:highlight w:val="none"/>
              </w:rPr>
              <w:t>c.投标</w:t>
            </w:r>
            <w:r>
              <w:rPr>
                <w:rFonts w:hint="eastAsia" w:ascii="宋体" w:hAnsi="宋体" w:cs="宋体"/>
                <w:sz w:val="21"/>
                <w:szCs w:val="21"/>
                <w:highlight w:val="none"/>
              </w:rPr>
              <w:t>文件</w:t>
            </w:r>
            <w:r>
              <w:rPr>
                <w:rFonts w:hint="eastAsia" w:ascii="宋体" w:hAnsi="宋体" w:cs="宋体"/>
                <w:bCs/>
                <w:sz w:val="21"/>
                <w:szCs w:val="21"/>
                <w:highlight w:val="none"/>
              </w:rPr>
              <w:t>组成齐全完整，内容均按规定填写。</w:t>
            </w:r>
          </w:p>
          <w:p w14:paraId="7C5B1D2F">
            <w:pPr>
              <w:spacing w:line="288" w:lineRule="auto"/>
              <w:ind w:firstLine="386" w:firstLineChars="184"/>
              <w:jc w:val="left"/>
              <w:rPr>
                <w:rFonts w:hint="eastAsia" w:ascii="宋体" w:hAnsi="宋体" w:cs="宋体"/>
                <w:bCs/>
                <w:sz w:val="21"/>
                <w:szCs w:val="21"/>
                <w:highlight w:val="none"/>
              </w:rPr>
            </w:pPr>
            <w:r>
              <w:rPr>
                <w:rFonts w:hint="eastAsia" w:ascii="宋体" w:hAnsi="宋体" w:cs="宋体"/>
                <w:bCs/>
                <w:sz w:val="21"/>
                <w:szCs w:val="21"/>
                <w:highlight w:val="none"/>
              </w:rPr>
              <w:t>（2）</w:t>
            </w:r>
            <w:r>
              <w:rPr>
                <w:rFonts w:hint="eastAsia" w:ascii="宋体" w:hAnsi="宋体" w:cs="宋体"/>
                <w:sz w:val="21"/>
                <w:szCs w:val="21"/>
                <w:highlight w:val="none"/>
              </w:rPr>
              <w:t>投标文件上法定代表人或其授权代理人的签字、投标人的单位章盖章齐全，符合招标文件规定</w:t>
            </w:r>
            <w:r>
              <w:rPr>
                <w:rFonts w:hint="eastAsia" w:ascii="宋体" w:hAnsi="宋体" w:cs="宋体"/>
                <w:bCs/>
                <w:sz w:val="21"/>
                <w:szCs w:val="21"/>
                <w:highlight w:val="none"/>
              </w:rPr>
              <w:t>。</w:t>
            </w:r>
          </w:p>
          <w:p w14:paraId="0082FFAF">
            <w:pPr>
              <w:spacing w:line="288" w:lineRule="auto"/>
              <w:ind w:firstLine="386" w:firstLineChars="184"/>
              <w:jc w:val="left"/>
              <w:rPr>
                <w:rFonts w:hint="eastAsia" w:ascii="宋体" w:hAnsi="宋体" w:cs="宋体"/>
                <w:bCs/>
                <w:sz w:val="21"/>
                <w:szCs w:val="21"/>
                <w:highlight w:val="none"/>
              </w:rPr>
            </w:pPr>
            <w:r>
              <w:rPr>
                <w:rFonts w:hint="eastAsia" w:ascii="宋体" w:hAnsi="宋体" w:cs="宋体"/>
                <w:bCs/>
                <w:sz w:val="21"/>
                <w:szCs w:val="21"/>
                <w:highlight w:val="none"/>
              </w:rPr>
              <w:t>（3）投标报价未超过招标文件设定的最高投标限价。</w:t>
            </w:r>
          </w:p>
          <w:p w14:paraId="700E08CD">
            <w:pPr>
              <w:spacing w:line="288" w:lineRule="auto"/>
              <w:ind w:firstLine="386" w:firstLineChars="184"/>
              <w:jc w:val="left"/>
              <w:rPr>
                <w:rFonts w:hint="eastAsia" w:ascii="宋体" w:hAnsi="宋体" w:cs="宋体"/>
                <w:bCs/>
                <w:sz w:val="21"/>
                <w:szCs w:val="21"/>
                <w:highlight w:val="none"/>
              </w:rPr>
            </w:pPr>
            <w:r>
              <w:rPr>
                <w:rFonts w:hint="eastAsia" w:ascii="宋体" w:hAnsi="宋体" w:cs="宋体"/>
                <w:bCs/>
                <w:sz w:val="21"/>
                <w:szCs w:val="21"/>
                <w:highlight w:val="none"/>
              </w:rPr>
              <w:t>（4）投标</w:t>
            </w:r>
            <w:r>
              <w:rPr>
                <w:rFonts w:hint="eastAsia" w:ascii="宋体" w:hAnsi="宋体" w:cs="宋体"/>
                <w:sz w:val="21"/>
                <w:szCs w:val="21"/>
                <w:highlight w:val="none"/>
              </w:rPr>
              <w:t>报价</w:t>
            </w:r>
            <w:r>
              <w:rPr>
                <w:rFonts w:hint="eastAsia" w:ascii="宋体" w:hAnsi="宋体" w:cs="宋体"/>
                <w:bCs/>
                <w:sz w:val="21"/>
                <w:szCs w:val="21"/>
                <w:highlight w:val="none"/>
              </w:rPr>
              <w:t>的大写金额能够确定具体数值。</w:t>
            </w:r>
          </w:p>
          <w:p w14:paraId="6C5C7BAE">
            <w:pPr>
              <w:spacing w:line="288" w:lineRule="auto"/>
              <w:ind w:firstLine="386" w:firstLineChars="184"/>
              <w:jc w:val="left"/>
              <w:rPr>
                <w:rFonts w:hint="eastAsia" w:ascii="宋体" w:hAnsi="宋体" w:cs="宋体"/>
                <w:bCs/>
                <w:sz w:val="21"/>
                <w:szCs w:val="21"/>
                <w:highlight w:val="none"/>
              </w:rPr>
            </w:pPr>
            <w:r>
              <w:rPr>
                <w:rFonts w:hint="eastAsia" w:ascii="宋体" w:hAnsi="宋体" w:cs="宋体"/>
                <w:bCs/>
                <w:sz w:val="21"/>
                <w:szCs w:val="21"/>
                <w:highlight w:val="none"/>
              </w:rPr>
              <w:t>（5）同一</w:t>
            </w:r>
            <w:r>
              <w:rPr>
                <w:rFonts w:hint="eastAsia" w:ascii="宋体" w:hAnsi="宋体" w:cs="宋体"/>
                <w:sz w:val="21"/>
                <w:szCs w:val="21"/>
                <w:highlight w:val="none"/>
              </w:rPr>
              <w:t>投标人</w:t>
            </w:r>
            <w:r>
              <w:rPr>
                <w:rFonts w:hint="eastAsia" w:ascii="宋体" w:hAnsi="宋体" w:cs="宋体"/>
                <w:bCs/>
                <w:sz w:val="21"/>
                <w:szCs w:val="21"/>
                <w:highlight w:val="none"/>
              </w:rPr>
              <w:t>未提交两个以上不同的投标报价。</w:t>
            </w:r>
          </w:p>
          <w:p w14:paraId="4D03DE81">
            <w:pPr>
              <w:spacing w:line="264" w:lineRule="auto"/>
              <w:ind w:firstLine="386" w:firstLineChars="184"/>
              <w:jc w:val="left"/>
              <w:rPr>
                <w:rFonts w:hint="eastAsia" w:ascii="宋体" w:hAnsi="宋体" w:cs="宋体"/>
                <w:bCs/>
                <w:sz w:val="21"/>
                <w:szCs w:val="21"/>
                <w:highlight w:val="none"/>
              </w:rPr>
            </w:pPr>
            <w:r>
              <w:rPr>
                <w:rFonts w:hint="eastAsia" w:ascii="宋体" w:hAnsi="宋体" w:cs="宋体"/>
                <w:bCs/>
                <w:sz w:val="21"/>
                <w:szCs w:val="21"/>
                <w:highlight w:val="none"/>
              </w:rPr>
              <w:t>（6）投标人未提交调价函。</w:t>
            </w:r>
          </w:p>
          <w:p w14:paraId="5780F5D4">
            <w:pPr>
              <w:spacing w:line="264" w:lineRule="auto"/>
              <w:ind w:firstLine="386" w:firstLineChars="184"/>
              <w:jc w:val="left"/>
              <w:rPr>
                <w:rFonts w:hint="eastAsia" w:ascii="宋体" w:hAnsi="宋体" w:cs="宋体"/>
                <w:bCs/>
                <w:sz w:val="21"/>
                <w:szCs w:val="21"/>
                <w:highlight w:val="none"/>
              </w:rPr>
            </w:pPr>
            <w:r>
              <w:rPr>
                <w:rFonts w:hint="eastAsia" w:ascii="宋体" w:hAnsi="宋体" w:eastAsia="宋体" w:cs="宋体"/>
                <w:bCs/>
                <w:sz w:val="21"/>
                <w:szCs w:val="21"/>
                <w:highlight w:val="none"/>
              </w:rPr>
              <w:t>（7）投标人填写完毕的工程量固化清单未对招标人提供的工程量固化清单电子文件中的数据、格式和运算定义进行修改。</w:t>
            </w:r>
          </w:p>
          <w:p w14:paraId="70AFEF89">
            <w:pPr>
              <w:snapToGrid w:val="0"/>
              <w:spacing w:line="380" w:lineRule="exact"/>
              <w:ind w:firstLine="420" w:firstLineChars="200"/>
              <w:rPr>
                <w:sz w:val="21"/>
                <w:szCs w:val="21"/>
                <w:highlight w:val="none"/>
                <w:lang w:bidi="ar"/>
              </w:rPr>
            </w:pP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8</w:t>
            </w:r>
            <w:r>
              <w:rPr>
                <w:rFonts w:hint="eastAsia" w:ascii="宋体" w:hAnsi="宋体" w:cs="宋体"/>
                <w:kern w:val="0"/>
                <w:sz w:val="21"/>
                <w:szCs w:val="21"/>
                <w:highlight w:val="none"/>
              </w:rPr>
              <w:t>）</w:t>
            </w:r>
            <w:ins w:id="8" w:author="鲁鹏" w:date="2026-07-29T15:28:32Z">
              <w:r>
                <w:rPr>
                  <w:rFonts w:hint="eastAsia" w:ascii="宋体" w:hAnsi="宋体" w:cs="宋体"/>
                  <w:kern w:val="0"/>
                  <w:sz w:val="21"/>
                  <w:szCs w:val="21"/>
                  <w:highlight w:val="none"/>
                  <w:lang w:val="en-US" w:eastAsia="zh-CN"/>
                </w:rPr>
                <w:t>投标人填写的工程量固化清单</w:t>
              </w:r>
            </w:ins>
            <w:r>
              <w:rPr>
                <w:rFonts w:hint="eastAsia" w:ascii="宋体" w:hAnsi="宋体" w:cs="宋体"/>
                <w:kern w:val="0"/>
                <w:sz w:val="21"/>
                <w:szCs w:val="21"/>
                <w:highlight w:val="none"/>
              </w:rPr>
              <w:t>中的投标报价和</w:t>
            </w:r>
            <w:r>
              <w:rPr>
                <w:rFonts w:hint="eastAsia" w:ascii="宋体" w:hAnsi="宋体" w:cs="宋体"/>
                <w:kern w:val="0"/>
                <w:sz w:val="21"/>
                <w:szCs w:val="21"/>
                <w:highlight w:val="none"/>
                <w:lang w:val="en-US" w:eastAsia="zh-CN"/>
              </w:rPr>
              <w:t>报价</w:t>
            </w:r>
            <w:r>
              <w:rPr>
                <w:rFonts w:hint="eastAsia" w:ascii="宋体" w:hAnsi="宋体" w:cs="宋体"/>
                <w:kern w:val="0"/>
                <w:sz w:val="21"/>
                <w:szCs w:val="21"/>
                <w:highlight w:val="none"/>
              </w:rPr>
              <w:t>函投标报价大写金额一致。</w:t>
            </w:r>
          </w:p>
        </w:tc>
      </w:tr>
      <w:tr w14:paraId="4CA21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7A522264">
            <w:pPr>
              <w:adjustRightInd w:val="0"/>
              <w:snapToGrid w:val="0"/>
              <w:jc w:val="center"/>
              <w:rPr>
                <w:sz w:val="21"/>
                <w:szCs w:val="21"/>
                <w:highlight w:val="none"/>
              </w:rPr>
            </w:pPr>
            <w:r>
              <w:rPr>
                <w:sz w:val="21"/>
                <w:szCs w:val="21"/>
                <w:highlight w:val="none"/>
              </w:rPr>
              <w:t>2.1.2</w:t>
            </w:r>
          </w:p>
        </w:tc>
        <w:tc>
          <w:tcPr>
            <w:tcW w:w="1559" w:type="dxa"/>
            <w:tcBorders>
              <w:top w:val="single" w:color="auto" w:sz="4" w:space="0"/>
              <w:left w:val="single" w:color="auto" w:sz="4" w:space="0"/>
              <w:bottom w:val="single" w:color="auto" w:sz="4" w:space="0"/>
              <w:right w:val="single" w:color="auto" w:sz="4" w:space="0"/>
            </w:tcBorders>
            <w:vAlign w:val="center"/>
          </w:tcPr>
          <w:p w14:paraId="126A3227">
            <w:pPr>
              <w:adjustRightInd w:val="0"/>
              <w:snapToGrid w:val="0"/>
              <w:jc w:val="center"/>
              <w:rPr>
                <w:sz w:val="21"/>
                <w:szCs w:val="21"/>
                <w:highlight w:val="none"/>
                <w:lang w:bidi="ar"/>
              </w:rPr>
            </w:pPr>
            <w:r>
              <w:rPr>
                <w:sz w:val="21"/>
                <w:szCs w:val="21"/>
                <w:highlight w:val="none"/>
                <w:lang w:bidi="ar"/>
              </w:rPr>
              <w:t>资格评审</w:t>
            </w:r>
          </w:p>
          <w:p w14:paraId="1F095954">
            <w:pPr>
              <w:adjustRightInd w:val="0"/>
              <w:snapToGrid w:val="0"/>
              <w:jc w:val="center"/>
              <w:rPr>
                <w:sz w:val="21"/>
                <w:szCs w:val="21"/>
                <w:highlight w:val="none"/>
              </w:rPr>
            </w:pPr>
            <w:r>
              <w:rPr>
                <w:sz w:val="21"/>
                <w:szCs w:val="21"/>
                <w:highlight w:val="none"/>
                <w:lang w:bidi="ar"/>
              </w:rPr>
              <w:t>标准</w:t>
            </w:r>
          </w:p>
        </w:tc>
        <w:tc>
          <w:tcPr>
            <w:tcW w:w="7028" w:type="dxa"/>
            <w:tcBorders>
              <w:top w:val="single" w:color="auto" w:sz="4" w:space="0"/>
              <w:left w:val="single" w:color="auto" w:sz="4" w:space="0"/>
              <w:bottom w:val="single" w:color="auto" w:sz="4" w:space="0"/>
              <w:right w:val="single" w:color="auto" w:sz="4" w:space="0"/>
            </w:tcBorders>
            <w:vAlign w:val="center"/>
          </w:tcPr>
          <w:p w14:paraId="6C9F3E10">
            <w:pPr>
              <w:adjustRightInd w:val="0"/>
              <w:snapToGrid w:val="0"/>
              <w:jc w:val="left"/>
              <w:rPr>
                <w:sz w:val="21"/>
                <w:szCs w:val="21"/>
                <w:highlight w:val="none"/>
                <w:lang w:bidi="ar"/>
              </w:rPr>
            </w:pPr>
            <w:r>
              <w:rPr>
                <w:sz w:val="21"/>
                <w:szCs w:val="21"/>
                <w:highlight w:val="none"/>
                <w:lang w:bidi="ar"/>
              </w:rPr>
              <w:t>（1）投标人具备有效的营业执照、资质证书、安全生产许可证和基本账户开户许可证（或基本存款账户信息）。</w:t>
            </w:r>
          </w:p>
          <w:p w14:paraId="7164521F">
            <w:pPr>
              <w:adjustRightInd w:val="0"/>
              <w:snapToGrid w:val="0"/>
              <w:jc w:val="left"/>
              <w:rPr>
                <w:sz w:val="21"/>
                <w:szCs w:val="21"/>
                <w:highlight w:val="none"/>
                <w:lang w:bidi="ar"/>
              </w:rPr>
            </w:pPr>
            <w:r>
              <w:rPr>
                <w:sz w:val="21"/>
                <w:szCs w:val="21"/>
                <w:highlight w:val="none"/>
                <w:lang w:bidi="ar"/>
              </w:rPr>
              <w:t>（2）投标人的资质等级符合招标文件规定。</w:t>
            </w:r>
          </w:p>
          <w:p w14:paraId="0D2E06CF">
            <w:pPr>
              <w:adjustRightInd w:val="0"/>
              <w:snapToGrid w:val="0"/>
              <w:jc w:val="left"/>
              <w:rPr>
                <w:sz w:val="21"/>
                <w:szCs w:val="21"/>
                <w:highlight w:val="none"/>
                <w:lang w:bidi="ar"/>
              </w:rPr>
            </w:pPr>
            <w:r>
              <w:rPr>
                <w:sz w:val="21"/>
                <w:szCs w:val="21"/>
                <w:highlight w:val="none"/>
                <w:lang w:bidi="ar"/>
              </w:rPr>
              <w:t>（</w:t>
            </w:r>
            <w:r>
              <w:rPr>
                <w:rFonts w:hint="eastAsia"/>
                <w:sz w:val="21"/>
                <w:szCs w:val="21"/>
                <w:highlight w:val="none"/>
                <w:lang w:val="en-US" w:eastAsia="zh-CN" w:bidi="ar"/>
              </w:rPr>
              <w:t>3</w:t>
            </w:r>
            <w:r>
              <w:rPr>
                <w:sz w:val="21"/>
                <w:szCs w:val="21"/>
                <w:highlight w:val="none"/>
                <w:lang w:bidi="ar"/>
              </w:rPr>
              <w:t>）投标人的</w:t>
            </w:r>
            <w:r>
              <w:rPr>
                <w:rFonts w:hint="eastAsia"/>
                <w:sz w:val="21"/>
                <w:szCs w:val="21"/>
                <w:highlight w:val="none"/>
                <w:lang w:val="en-US" w:eastAsia="zh-CN" w:bidi="ar"/>
              </w:rPr>
              <w:t>类似项目</w:t>
            </w:r>
            <w:r>
              <w:rPr>
                <w:sz w:val="21"/>
                <w:szCs w:val="21"/>
                <w:highlight w:val="none"/>
                <w:lang w:bidi="ar"/>
              </w:rPr>
              <w:t>业绩符合招标文件规定。</w:t>
            </w:r>
          </w:p>
          <w:p w14:paraId="760E40DB">
            <w:pPr>
              <w:adjustRightInd w:val="0"/>
              <w:snapToGrid w:val="0"/>
              <w:jc w:val="left"/>
              <w:rPr>
                <w:sz w:val="21"/>
                <w:szCs w:val="21"/>
                <w:highlight w:val="none"/>
                <w:lang w:bidi="ar"/>
              </w:rPr>
            </w:pPr>
            <w:r>
              <w:rPr>
                <w:sz w:val="21"/>
                <w:szCs w:val="21"/>
                <w:highlight w:val="none"/>
                <w:lang w:bidi="ar"/>
              </w:rPr>
              <w:t>（</w:t>
            </w:r>
            <w:r>
              <w:rPr>
                <w:rFonts w:hint="eastAsia"/>
                <w:sz w:val="21"/>
                <w:szCs w:val="21"/>
                <w:highlight w:val="none"/>
                <w:lang w:val="en-US" w:eastAsia="zh-CN" w:bidi="ar"/>
              </w:rPr>
              <w:t>4</w:t>
            </w:r>
            <w:r>
              <w:rPr>
                <w:sz w:val="21"/>
                <w:szCs w:val="21"/>
                <w:highlight w:val="none"/>
                <w:lang w:bidi="ar"/>
              </w:rPr>
              <w:t>）投标人的信誉符合招标文件规定。</w:t>
            </w:r>
          </w:p>
          <w:p w14:paraId="63790720">
            <w:pPr>
              <w:adjustRightInd w:val="0"/>
              <w:snapToGrid w:val="0"/>
              <w:jc w:val="left"/>
              <w:rPr>
                <w:sz w:val="21"/>
                <w:szCs w:val="21"/>
                <w:highlight w:val="none"/>
                <w:lang w:bidi="ar"/>
              </w:rPr>
            </w:pPr>
            <w:r>
              <w:rPr>
                <w:sz w:val="21"/>
                <w:szCs w:val="21"/>
                <w:highlight w:val="none"/>
                <w:lang w:bidi="ar"/>
              </w:rPr>
              <w:t>（</w:t>
            </w:r>
            <w:r>
              <w:rPr>
                <w:rFonts w:hint="eastAsia"/>
                <w:sz w:val="21"/>
                <w:szCs w:val="21"/>
                <w:highlight w:val="none"/>
                <w:lang w:val="en-US" w:eastAsia="zh-CN" w:bidi="ar"/>
              </w:rPr>
              <w:t>5</w:t>
            </w:r>
            <w:r>
              <w:rPr>
                <w:sz w:val="21"/>
                <w:szCs w:val="21"/>
                <w:highlight w:val="none"/>
                <w:lang w:bidi="ar"/>
              </w:rPr>
              <w:t>）投标人的</w:t>
            </w:r>
            <w:r>
              <w:rPr>
                <w:rFonts w:hint="eastAsia"/>
                <w:sz w:val="21"/>
                <w:szCs w:val="21"/>
                <w:highlight w:val="none"/>
                <w:lang w:eastAsia="zh-CN" w:bidi="ar"/>
              </w:rPr>
              <w:t>项目经理</w:t>
            </w:r>
            <w:r>
              <w:rPr>
                <w:sz w:val="21"/>
                <w:szCs w:val="21"/>
                <w:highlight w:val="none"/>
                <w:lang w:bidi="ar"/>
              </w:rPr>
              <w:t>符合招标文件规定。</w:t>
            </w:r>
          </w:p>
          <w:p w14:paraId="003DEC3C">
            <w:pPr>
              <w:adjustRightInd w:val="0"/>
              <w:snapToGrid w:val="0"/>
              <w:jc w:val="left"/>
              <w:rPr>
                <w:sz w:val="21"/>
                <w:szCs w:val="21"/>
                <w:highlight w:val="none"/>
                <w:lang w:bidi="ar"/>
              </w:rPr>
            </w:pPr>
            <w:r>
              <w:rPr>
                <w:sz w:val="21"/>
                <w:szCs w:val="21"/>
                <w:highlight w:val="none"/>
                <w:lang w:bidi="ar"/>
              </w:rPr>
              <w:t>（</w:t>
            </w:r>
            <w:r>
              <w:rPr>
                <w:rFonts w:hint="eastAsia"/>
                <w:sz w:val="21"/>
                <w:szCs w:val="21"/>
                <w:highlight w:val="none"/>
                <w:lang w:val="en-US" w:eastAsia="zh-CN" w:bidi="ar"/>
              </w:rPr>
              <w:t>6</w:t>
            </w:r>
            <w:r>
              <w:rPr>
                <w:sz w:val="21"/>
                <w:szCs w:val="21"/>
                <w:highlight w:val="none"/>
                <w:lang w:bidi="ar"/>
              </w:rPr>
              <w:t>）投标人不存在第二章“投标人须知”第1.4.3</w:t>
            </w:r>
            <w:r>
              <w:rPr>
                <w:rFonts w:hint="eastAsia"/>
                <w:sz w:val="21"/>
                <w:szCs w:val="21"/>
                <w:highlight w:val="none"/>
                <w:lang w:bidi="ar"/>
              </w:rPr>
              <w:t>项</w:t>
            </w:r>
            <w:r>
              <w:rPr>
                <w:sz w:val="21"/>
                <w:szCs w:val="21"/>
                <w:highlight w:val="none"/>
                <w:lang w:bidi="ar"/>
              </w:rPr>
              <w:t>或1.4.4</w:t>
            </w:r>
            <w:r>
              <w:rPr>
                <w:rFonts w:hint="eastAsia"/>
                <w:sz w:val="21"/>
                <w:szCs w:val="21"/>
                <w:highlight w:val="none"/>
                <w:lang w:bidi="ar"/>
              </w:rPr>
              <w:t>项</w:t>
            </w:r>
            <w:r>
              <w:rPr>
                <w:sz w:val="21"/>
                <w:szCs w:val="21"/>
                <w:highlight w:val="none"/>
                <w:lang w:bidi="ar"/>
              </w:rPr>
              <w:t>规定的任何一种情形。</w:t>
            </w:r>
          </w:p>
        </w:tc>
      </w:tr>
      <w:tr w14:paraId="28A82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blHeader/>
          <w:jc w:val="center"/>
        </w:trPr>
        <w:tc>
          <w:tcPr>
            <w:tcW w:w="877" w:type="dxa"/>
            <w:tcBorders>
              <w:top w:val="single" w:color="auto" w:sz="4" w:space="0"/>
              <w:left w:val="single" w:color="auto" w:sz="4" w:space="0"/>
              <w:bottom w:val="single" w:color="auto" w:sz="4" w:space="0"/>
              <w:right w:val="single" w:color="auto" w:sz="4" w:space="0"/>
            </w:tcBorders>
            <w:vAlign w:val="center"/>
          </w:tcPr>
          <w:p w14:paraId="055D787B">
            <w:pPr>
              <w:adjustRightInd w:val="0"/>
              <w:snapToGrid w:val="0"/>
              <w:jc w:val="center"/>
              <w:rPr>
                <w:b/>
                <w:sz w:val="21"/>
                <w:szCs w:val="21"/>
                <w:highlight w:val="none"/>
                <w:lang w:bidi="ar"/>
              </w:rPr>
            </w:pPr>
            <w:r>
              <w:rPr>
                <w:b/>
                <w:sz w:val="21"/>
                <w:szCs w:val="21"/>
                <w:highlight w:val="none"/>
                <w:lang w:bidi="ar"/>
              </w:rPr>
              <w:t>条款号</w:t>
            </w:r>
          </w:p>
        </w:tc>
        <w:tc>
          <w:tcPr>
            <w:tcW w:w="1559" w:type="dxa"/>
            <w:tcBorders>
              <w:top w:val="single" w:color="auto" w:sz="4" w:space="0"/>
              <w:left w:val="single" w:color="auto" w:sz="4" w:space="0"/>
              <w:bottom w:val="single" w:color="auto" w:sz="4" w:space="0"/>
              <w:right w:val="single" w:color="auto" w:sz="4" w:space="0"/>
            </w:tcBorders>
            <w:vAlign w:val="center"/>
          </w:tcPr>
          <w:p w14:paraId="59CB07A8">
            <w:pPr>
              <w:adjustRightInd w:val="0"/>
              <w:snapToGrid w:val="0"/>
              <w:jc w:val="center"/>
              <w:rPr>
                <w:b/>
                <w:sz w:val="21"/>
                <w:szCs w:val="21"/>
                <w:highlight w:val="none"/>
                <w:lang w:bidi="ar"/>
              </w:rPr>
            </w:pPr>
            <w:r>
              <w:rPr>
                <w:b/>
                <w:sz w:val="21"/>
                <w:szCs w:val="21"/>
                <w:highlight w:val="none"/>
                <w:lang w:bidi="ar"/>
              </w:rPr>
              <w:t>条款内容</w:t>
            </w:r>
          </w:p>
        </w:tc>
        <w:tc>
          <w:tcPr>
            <w:tcW w:w="7028" w:type="dxa"/>
            <w:tcBorders>
              <w:top w:val="single" w:color="auto" w:sz="4" w:space="0"/>
              <w:left w:val="single" w:color="auto" w:sz="4" w:space="0"/>
              <w:bottom w:val="single" w:color="auto" w:sz="4" w:space="0"/>
              <w:right w:val="single" w:color="auto" w:sz="4" w:space="0"/>
            </w:tcBorders>
            <w:vAlign w:val="center"/>
          </w:tcPr>
          <w:p w14:paraId="3F6DE98A">
            <w:pPr>
              <w:adjustRightInd w:val="0"/>
              <w:snapToGrid w:val="0"/>
              <w:jc w:val="center"/>
              <w:rPr>
                <w:b/>
                <w:sz w:val="21"/>
                <w:szCs w:val="21"/>
                <w:highlight w:val="none"/>
                <w:lang w:bidi="ar"/>
              </w:rPr>
            </w:pPr>
            <w:r>
              <w:rPr>
                <w:b/>
                <w:sz w:val="21"/>
                <w:szCs w:val="21"/>
                <w:highlight w:val="none"/>
                <w:lang w:bidi="ar"/>
              </w:rPr>
              <w:t>编列内容</w:t>
            </w:r>
          </w:p>
        </w:tc>
      </w:tr>
      <w:tr w14:paraId="4E84C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0CC1534F">
            <w:pPr>
              <w:adjustRightInd w:val="0"/>
              <w:snapToGrid w:val="0"/>
              <w:jc w:val="center"/>
              <w:rPr>
                <w:sz w:val="21"/>
                <w:szCs w:val="21"/>
                <w:highlight w:val="none"/>
              </w:rPr>
            </w:pPr>
            <w:r>
              <w:rPr>
                <w:sz w:val="21"/>
                <w:szCs w:val="21"/>
                <w:highlight w:val="none"/>
              </w:rPr>
              <w:t>2.2.1</w:t>
            </w:r>
          </w:p>
        </w:tc>
        <w:tc>
          <w:tcPr>
            <w:tcW w:w="1559" w:type="dxa"/>
            <w:tcBorders>
              <w:top w:val="single" w:color="auto" w:sz="4" w:space="0"/>
              <w:left w:val="single" w:color="auto" w:sz="4" w:space="0"/>
              <w:bottom w:val="single" w:color="auto" w:sz="4" w:space="0"/>
              <w:right w:val="single" w:color="auto" w:sz="4" w:space="0"/>
            </w:tcBorders>
            <w:vAlign w:val="center"/>
          </w:tcPr>
          <w:p w14:paraId="039158E7">
            <w:pPr>
              <w:adjustRightInd w:val="0"/>
              <w:snapToGrid w:val="0"/>
              <w:jc w:val="center"/>
              <w:rPr>
                <w:sz w:val="21"/>
                <w:szCs w:val="21"/>
                <w:highlight w:val="none"/>
                <w:lang w:bidi="ar"/>
              </w:rPr>
            </w:pPr>
            <w:r>
              <w:rPr>
                <w:sz w:val="21"/>
                <w:szCs w:val="21"/>
                <w:highlight w:val="none"/>
                <w:lang w:bidi="ar"/>
              </w:rPr>
              <w:t>分值构成</w:t>
            </w:r>
          </w:p>
          <w:p w14:paraId="3927D994">
            <w:pPr>
              <w:adjustRightInd w:val="0"/>
              <w:snapToGrid w:val="0"/>
              <w:jc w:val="center"/>
              <w:rPr>
                <w:sz w:val="21"/>
                <w:szCs w:val="21"/>
                <w:highlight w:val="none"/>
              </w:rPr>
            </w:pPr>
            <w:r>
              <w:rPr>
                <w:sz w:val="21"/>
                <w:szCs w:val="21"/>
                <w:highlight w:val="none"/>
                <w:lang w:bidi="ar"/>
              </w:rPr>
              <w:t>（总分100分）</w:t>
            </w:r>
          </w:p>
        </w:tc>
        <w:tc>
          <w:tcPr>
            <w:tcW w:w="7028" w:type="dxa"/>
            <w:tcBorders>
              <w:top w:val="single" w:color="auto" w:sz="4" w:space="0"/>
              <w:left w:val="single" w:color="auto" w:sz="4" w:space="0"/>
              <w:bottom w:val="single" w:color="auto" w:sz="4" w:space="0"/>
              <w:right w:val="single" w:color="auto" w:sz="4" w:space="0"/>
            </w:tcBorders>
            <w:vAlign w:val="center"/>
          </w:tcPr>
          <w:p w14:paraId="5C686C5E">
            <w:pPr>
              <w:pStyle w:val="12"/>
              <w:adjustRightInd w:val="0"/>
              <w:snapToGrid w:val="0"/>
              <w:rPr>
                <w:rFonts w:ascii="Times New Roman" w:hAnsi="Times New Roman" w:cs="Times New Roman"/>
                <w:sz w:val="21"/>
                <w:szCs w:val="21"/>
                <w:highlight w:val="none"/>
                <w:lang w:val="en-US"/>
              </w:rPr>
            </w:pPr>
            <w:r>
              <w:rPr>
                <w:rFonts w:hint="eastAsia" w:ascii="Times New Roman" w:hAnsi="Times New Roman" w:cs="Times New Roman"/>
                <w:sz w:val="21"/>
                <w:szCs w:val="21"/>
                <w:highlight w:val="none"/>
                <w:lang w:val="en-US"/>
              </w:rPr>
              <w:t>评标价：100分</w:t>
            </w:r>
          </w:p>
        </w:tc>
      </w:tr>
      <w:tr w14:paraId="48ED8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2268D7E4">
            <w:pPr>
              <w:adjustRightInd w:val="0"/>
              <w:snapToGrid w:val="0"/>
              <w:jc w:val="center"/>
              <w:rPr>
                <w:sz w:val="21"/>
                <w:szCs w:val="21"/>
                <w:highlight w:val="none"/>
              </w:rPr>
            </w:pPr>
            <w:r>
              <w:rPr>
                <w:rFonts w:hint="eastAsia"/>
                <w:sz w:val="21"/>
                <w:szCs w:val="21"/>
                <w:highlight w:val="none"/>
              </w:rPr>
              <w:t>2.2.2</w:t>
            </w:r>
          </w:p>
        </w:tc>
        <w:tc>
          <w:tcPr>
            <w:tcW w:w="1559" w:type="dxa"/>
            <w:tcBorders>
              <w:top w:val="single" w:color="auto" w:sz="4" w:space="0"/>
              <w:left w:val="single" w:color="auto" w:sz="4" w:space="0"/>
              <w:bottom w:val="single" w:color="auto" w:sz="4" w:space="0"/>
              <w:right w:val="single" w:color="auto" w:sz="4" w:space="0"/>
            </w:tcBorders>
            <w:vAlign w:val="center"/>
          </w:tcPr>
          <w:p w14:paraId="1A3D9436">
            <w:pPr>
              <w:adjustRightInd w:val="0"/>
              <w:snapToGrid w:val="0"/>
              <w:jc w:val="center"/>
              <w:rPr>
                <w:sz w:val="21"/>
                <w:szCs w:val="21"/>
                <w:highlight w:val="none"/>
              </w:rPr>
            </w:pPr>
            <w:r>
              <w:rPr>
                <w:rFonts w:hint="eastAsia"/>
                <w:sz w:val="21"/>
                <w:szCs w:val="21"/>
                <w:highlight w:val="none"/>
              </w:rPr>
              <w:t>评标基准价计算方法</w:t>
            </w:r>
          </w:p>
        </w:tc>
        <w:tc>
          <w:tcPr>
            <w:tcW w:w="7028" w:type="dxa"/>
            <w:tcBorders>
              <w:top w:val="single" w:color="auto" w:sz="4" w:space="0"/>
              <w:left w:val="single" w:color="auto" w:sz="4" w:space="0"/>
              <w:bottom w:val="single" w:color="auto" w:sz="4" w:space="0"/>
              <w:right w:val="single" w:color="auto" w:sz="4" w:space="0"/>
            </w:tcBorders>
            <w:vAlign w:val="center"/>
          </w:tcPr>
          <w:p w14:paraId="5AD479C9">
            <w:pPr>
              <w:adjustRightInd w:val="0"/>
              <w:snapToGrid w:val="0"/>
              <w:rPr>
                <w:rFonts w:hint="eastAsia"/>
                <w:sz w:val="21"/>
                <w:szCs w:val="21"/>
                <w:highlight w:val="none"/>
              </w:rPr>
            </w:pPr>
            <w:r>
              <w:rPr>
                <w:rFonts w:hint="eastAsia"/>
                <w:sz w:val="21"/>
                <w:szCs w:val="21"/>
                <w:highlight w:val="none"/>
              </w:rPr>
              <w:t>评标基准价的计算：</w:t>
            </w:r>
          </w:p>
          <w:p w14:paraId="7062C775">
            <w:pPr>
              <w:adjustRightInd w:val="0"/>
              <w:snapToGrid w:val="0"/>
              <w:rPr>
                <w:rFonts w:hint="eastAsia"/>
                <w:sz w:val="21"/>
                <w:szCs w:val="21"/>
                <w:highlight w:val="none"/>
              </w:rPr>
            </w:pPr>
            <w:r>
              <w:rPr>
                <w:rFonts w:hint="eastAsia"/>
                <w:sz w:val="21"/>
                <w:szCs w:val="21"/>
                <w:highlight w:val="none"/>
              </w:rPr>
              <w:t>在开标现场，招标人将当场计算并宣布评标基准价。</w:t>
            </w:r>
          </w:p>
          <w:p w14:paraId="13CFFEB2">
            <w:pPr>
              <w:adjustRightInd w:val="0"/>
              <w:snapToGrid w:val="0"/>
              <w:rPr>
                <w:rFonts w:hint="eastAsia"/>
                <w:sz w:val="21"/>
                <w:szCs w:val="21"/>
                <w:highlight w:val="none"/>
              </w:rPr>
            </w:pPr>
            <w:r>
              <w:rPr>
                <w:rFonts w:hint="eastAsia"/>
                <w:sz w:val="21"/>
                <w:szCs w:val="21"/>
                <w:highlight w:val="none"/>
              </w:rPr>
              <w:t>（1）评标价的确定：</w:t>
            </w:r>
          </w:p>
          <w:p w14:paraId="133ADE43">
            <w:pPr>
              <w:adjustRightInd w:val="0"/>
              <w:snapToGrid w:val="0"/>
              <w:rPr>
                <w:rFonts w:hint="eastAsia"/>
                <w:sz w:val="21"/>
                <w:szCs w:val="21"/>
                <w:highlight w:val="none"/>
              </w:rPr>
            </w:pPr>
            <w:r>
              <w:rPr>
                <w:rFonts w:hint="eastAsia"/>
                <w:sz w:val="21"/>
                <w:szCs w:val="21"/>
                <w:highlight w:val="none"/>
              </w:rPr>
              <w:t>评标价=投标函文字报价</w:t>
            </w:r>
          </w:p>
          <w:p w14:paraId="651D5CE3">
            <w:pPr>
              <w:adjustRightInd w:val="0"/>
              <w:snapToGrid w:val="0"/>
              <w:rPr>
                <w:rFonts w:hint="eastAsia"/>
                <w:sz w:val="21"/>
                <w:szCs w:val="21"/>
                <w:highlight w:val="none"/>
              </w:rPr>
            </w:pPr>
            <w:r>
              <w:rPr>
                <w:rFonts w:hint="eastAsia"/>
                <w:sz w:val="21"/>
                <w:szCs w:val="21"/>
                <w:highlight w:val="none"/>
              </w:rPr>
              <w:t>（2）评标价平均值的计算：</w:t>
            </w:r>
          </w:p>
          <w:p w14:paraId="2E9C3FAC">
            <w:pPr>
              <w:adjustRightInd w:val="0"/>
              <w:snapToGrid w:val="0"/>
              <w:rPr>
                <w:rFonts w:hint="eastAsia"/>
                <w:sz w:val="21"/>
                <w:szCs w:val="21"/>
                <w:highlight w:val="none"/>
              </w:rPr>
            </w:pPr>
            <w:r>
              <w:rPr>
                <w:rFonts w:hint="eastAsia"/>
                <w:sz w:val="21"/>
                <w:szCs w:val="21"/>
                <w:highlight w:val="none"/>
              </w:rPr>
              <w:t>除按第二章“投标人须知”第5.2.4项规定开标现场被宣布为不进入评标基准价计算的投标报价之外，所有投标人的评标价去掉一个最高值和一个最低值后的算术平均值即为评标价平均值（如果参与评标价平均值计算的有效投标人少于5家时，则计算评标价平均值时不去掉最高值和最低值）。</w:t>
            </w:r>
          </w:p>
          <w:p w14:paraId="5C816FD3">
            <w:pPr>
              <w:adjustRightInd w:val="0"/>
              <w:snapToGrid w:val="0"/>
              <w:rPr>
                <w:rFonts w:hint="eastAsia"/>
                <w:sz w:val="21"/>
                <w:szCs w:val="21"/>
                <w:highlight w:val="none"/>
              </w:rPr>
            </w:pPr>
            <w:r>
              <w:rPr>
                <w:rFonts w:hint="eastAsia"/>
                <w:sz w:val="21"/>
                <w:szCs w:val="21"/>
                <w:highlight w:val="none"/>
              </w:rPr>
              <w:t>（3）评标基准价的确定：</w:t>
            </w:r>
          </w:p>
          <w:p w14:paraId="637645D4">
            <w:pPr>
              <w:adjustRightInd w:val="0"/>
              <w:snapToGrid w:val="0"/>
              <w:rPr>
                <w:rFonts w:hint="eastAsia"/>
                <w:sz w:val="21"/>
                <w:szCs w:val="21"/>
                <w:highlight w:val="none"/>
              </w:rPr>
            </w:pPr>
            <w:r>
              <w:rPr>
                <w:rFonts w:hint="eastAsia"/>
                <w:sz w:val="21"/>
                <w:szCs w:val="21"/>
                <w:highlight w:val="none"/>
              </w:rPr>
              <w:t>将评标价平均值直接作为评标基准价（评标基准价保留小数点后两位，小数点后第三位四舍五入）。</w:t>
            </w:r>
          </w:p>
          <w:p w14:paraId="29EC0251">
            <w:pPr>
              <w:adjustRightInd w:val="0"/>
              <w:snapToGrid w:val="0"/>
              <w:rPr>
                <w:sz w:val="21"/>
                <w:szCs w:val="21"/>
                <w:highlight w:val="none"/>
              </w:rPr>
            </w:pPr>
            <w:r>
              <w:rPr>
                <w:rFonts w:hint="eastAsia"/>
                <w:sz w:val="21"/>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p w14:paraId="73373BCC">
            <w:pPr>
              <w:adjustRightInd w:val="0"/>
              <w:snapToGrid w:val="0"/>
              <w:rPr>
                <w:sz w:val="21"/>
                <w:szCs w:val="21"/>
                <w:highlight w:val="none"/>
              </w:rPr>
            </w:pPr>
            <w:r>
              <w:rPr>
                <w:rFonts w:hint="eastAsia"/>
                <w:sz w:val="21"/>
                <w:szCs w:val="21"/>
                <w:highlight w:val="none"/>
              </w:rPr>
              <w:t>评标基准价保留小数点后两位，小数点后第三位四舍五入。</w:t>
            </w:r>
          </w:p>
        </w:tc>
      </w:tr>
      <w:tr w14:paraId="05DBD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3FBBAC17">
            <w:pPr>
              <w:adjustRightInd w:val="0"/>
              <w:snapToGrid w:val="0"/>
              <w:jc w:val="center"/>
              <w:rPr>
                <w:sz w:val="21"/>
                <w:szCs w:val="21"/>
                <w:highlight w:val="none"/>
              </w:rPr>
            </w:pPr>
            <w:r>
              <w:rPr>
                <w:rFonts w:hint="eastAsia"/>
                <w:sz w:val="21"/>
                <w:szCs w:val="21"/>
                <w:highlight w:val="none"/>
              </w:rPr>
              <w:t>2.2.3</w:t>
            </w:r>
          </w:p>
        </w:tc>
        <w:tc>
          <w:tcPr>
            <w:tcW w:w="1559" w:type="dxa"/>
            <w:tcBorders>
              <w:top w:val="single" w:color="auto" w:sz="4" w:space="0"/>
              <w:left w:val="single" w:color="auto" w:sz="4" w:space="0"/>
              <w:bottom w:val="single" w:color="auto" w:sz="4" w:space="0"/>
              <w:right w:val="single" w:color="auto" w:sz="4" w:space="0"/>
            </w:tcBorders>
            <w:vAlign w:val="center"/>
          </w:tcPr>
          <w:p w14:paraId="0996078A">
            <w:pPr>
              <w:adjustRightInd w:val="0"/>
              <w:snapToGrid w:val="0"/>
              <w:jc w:val="center"/>
              <w:rPr>
                <w:sz w:val="21"/>
                <w:szCs w:val="21"/>
                <w:highlight w:val="none"/>
              </w:rPr>
            </w:pPr>
            <w:r>
              <w:rPr>
                <w:rFonts w:hint="eastAsia"/>
                <w:sz w:val="21"/>
                <w:szCs w:val="21"/>
                <w:highlight w:val="none"/>
              </w:rPr>
              <w:t>评标价的偏差率计算公式</w:t>
            </w:r>
          </w:p>
        </w:tc>
        <w:tc>
          <w:tcPr>
            <w:tcW w:w="7028" w:type="dxa"/>
            <w:tcBorders>
              <w:top w:val="single" w:color="auto" w:sz="4" w:space="0"/>
              <w:left w:val="single" w:color="auto" w:sz="4" w:space="0"/>
              <w:bottom w:val="single" w:color="auto" w:sz="4" w:space="0"/>
              <w:right w:val="single" w:color="auto" w:sz="4" w:space="0"/>
            </w:tcBorders>
            <w:vAlign w:val="center"/>
          </w:tcPr>
          <w:p w14:paraId="0CF4B866">
            <w:pPr>
              <w:adjustRightInd w:val="0"/>
              <w:snapToGrid w:val="0"/>
              <w:rPr>
                <w:sz w:val="21"/>
                <w:szCs w:val="21"/>
                <w:highlight w:val="none"/>
              </w:rPr>
            </w:pPr>
            <w:r>
              <w:rPr>
                <w:rFonts w:hint="eastAsia"/>
                <w:sz w:val="21"/>
                <w:szCs w:val="21"/>
                <w:highlight w:val="none"/>
              </w:rPr>
              <w:t>偏差率=100%×（投标人评标价－评标基准价）/评标基准价</w:t>
            </w:r>
          </w:p>
          <w:p w14:paraId="3BE029FA">
            <w:pPr>
              <w:adjustRightInd w:val="0"/>
              <w:snapToGrid w:val="0"/>
              <w:rPr>
                <w:sz w:val="21"/>
                <w:szCs w:val="21"/>
                <w:highlight w:val="none"/>
              </w:rPr>
            </w:pPr>
            <w:r>
              <w:rPr>
                <w:rFonts w:hint="eastAsia"/>
                <w:sz w:val="21"/>
                <w:szCs w:val="21"/>
                <w:highlight w:val="none"/>
              </w:rPr>
              <w:t>（计算保留两位小数）</w:t>
            </w:r>
          </w:p>
        </w:tc>
      </w:tr>
      <w:tr w14:paraId="74512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2D683C62">
            <w:pPr>
              <w:adjustRightInd w:val="0"/>
              <w:snapToGrid w:val="0"/>
              <w:jc w:val="center"/>
              <w:rPr>
                <w:rFonts w:hint="eastAsia" w:ascii="Times New Roman" w:hAnsi="Times New Roman" w:eastAsia="宋体" w:cs="Times New Roman"/>
                <w:sz w:val="21"/>
                <w:szCs w:val="21"/>
                <w:highlight w:val="none"/>
                <w:lang w:eastAsia="zh-CN"/>
              </w:rPr>
            </w:pPr>
            <w:r>
              <w:rPr>
                <w:rFonts w:hint="eastAsia" w:ascii="Times New Roman" w:hAnsi="Times New Roman" w:eastAsia="宋体" w:cs="Times New Roman"/>
                <w:sz w:val="21"/>
                <w:szCs w:val="21"/>
                <w:highlight w:val="none"/>
              </w:rPr>
              <w:t>3.</w:t>
            </w:r>
            <w:r>
              <w:rPr>
                <w:rFonts w:hint="eastAsia" w:ascii="Times New Roman" w:hAnsi="Times New Roman" w:eastAsia="宋体" w:cs="Times New Roman"/>
                <w:sz w:val="21"/>
                <w:szCs w:val="21"/>
                <w:highlight w:val="none"/>
                <w:lang w:val="en-US" w:eastAsia="zh-CN"/>
              </w:rPr>
              <w:t>4</w:t>
            </w:r>
            <w:r>
              <w:rPr>
                <w:rFonts w:hint="eastAsia" w:ascii="Times New Roman" w:hAnsi="Times New Roman" w:eastAsia="宋体" w:cs="Times New Roman"/>
                <w:sz w:val="21"/>
                <w:szCs w:val="21"/>
                <w:highlight w:val="none"/>
              </w:rPr>
              <w:t>.</w:t>
            </w:r>
            <w:r>
              <w:rPr>
                <w:rFonts w:hint="eastAsia" w:ascii="Times New Roman" w:hAnsi="Times New Roman" w:eastAsia="宋体" w:cs="Times New Roman"/>
                <w:sz w:val="21"/>
                <w:szCs w:val="21"/>
                <w:highlight w:val="none"/>
                <w:lang w:val="en-US" w:eastAsia="zh-CN"/>
              </w:rPr>
              <w:t>3</w:t>
            </w:r>
          </w:p>
        </w:tc>
        <w:tc>
          <w:tcPr>
            <w:tcW w:w="8587" w:type="dxa"/>
            <w:gridSpan w:val="2"/>
            <w:tcBorders>
              <w:top w:val="single" w:color="auto" w:sz="4" w:space="0"/>
              <w:left w:val="single" w:color="auto" w:sz="4" w:space="0"/>
              <w:bottom w:val="single" w:color="auto" w:sz="4" w:space="0"/>
              <w:right w:val="single" w:color="auto" w:sz="4" w:space="0"/>
            </w:tcBorders>
            <w:vAlign w:val="center"/>
          </w:tcPr>
          <w:p w14:paraId="02801F4D">
            <w:pPr>
              <w:adjustRightInd w:val="0"/>
              <w:snapToGrid w:val="0"/>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本款修改为：</w:t>
            </w:r>
          </w:p>
          <w:p w14:paraId="1BE501AA">
            <w:pPr>
              <w:adjustRightInd w:val="0"/>
              <w:snapToGrid w:val="0"/>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评标委员会发现投标人的投标报价低于最高投标限价的</w:t>
            </w:r>
            <w:r>
              <w:rPr>
                <w:rFonts w:hint="eastAsia" w:cs="Times New Roman"/>
                <w:sz w:val="21"/>
                <w:szCs w:val="21"/>
                <w:highlight w:val="none"/>
                <w:lang w:val="en-US" w:eastAsia="zh-CN"/>
              </w:rPr>
              <w:t xml:space="preserve">65 </w:t>
            </w:r>
            <w:r>
              <w:rPr>
                <w:rFonts w:hint="eastAsia" w:ascii="Times New Roman" w:hAnsi="Times New Roman" w:eastAsia="宋体" w:cs="Times New Roman"/>
                <w:sz w:val="21"/>
                <w:szCs w:val="21"/>
                <w:highlight w:val="none"/>
              </w:rPr>
              <w:t>%</w:t>
            </w:r>
            <w:r>
              <w:rPr>
                <w:rFonts w:hint="eastAsia" w:cs="Times New Roman"/>
                <w:sz w:val="21"/>
                <w:szCs w:val="21"/>
                <w:highlight w:val="none"/>
                <w:lang w:val="en-US" w:eastAsia="zh-CN"/>
              </w:rPr>
              <w:t>（含）</w:t>
            </w:r>
            <w:r>
              <w:rPr>
                <w:rFonts w:hint="eastAsia" w:ascii="Times New Roman" w:hAnsi="Times New Roman" w:eastAsia="宋体" w:cs="Times New Roman"/>
                <w:sz w:val="21"/>
                <w:szCs w:val="21"/>
                <w:highlight w:val="none"/>
              </w:rPr>
              <w:t>时，应当要求该投标人在规定时间内作出书面说明并提供相应的证明材料。投标人不能合理说明或者不能提供相应证明材料的，评标委员会应当认定该投标人以低于成本或者影响履约的异常低价竞标，并否决其投标。</w:t>
            </w:r>
          </w:p>
        </w:tc>
      </w:tr>
      <w:tr w14:paraId="3E259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7" w:type="dxa"/>
            <w:tcBorders>
              <w:top w:val="single" w:color="auto" w:sz="4" w:space="0"/>
              <w:left w:val="single" w:color="auto" w:sz="4" w:space="0"/>
              <w:bottom w:val="single" w:color="auto" w:sz="4" w:space="0"/>
              <w:right w:val="single" w:color="auto" w:sz="4" w:space="0"/>
            </w:tcBorders>
            <w:vAlign w:val="center"/>
          </w:tcPr>
          <w:p w14:paraId="7B38F49D">
            <w:pPr>
              <w:adjustRightInd w:val="0"/>
              <w:snapToGrid w:val="0"/>
              <w:jc w:val="center"/>
              <w:rPr>
                <w:sz w:val="21"/>
                <w:szCs w:val="21"/>
                <w:highlight w:val="none"/>
              </w:rPr>
            </w:pPr>
            <w:r>
              <w:rPr>
                <w:sz w:val="21"/>
                <w:szCs w:val="21"/>
                <w:highlight w:val="none"/>
              </w:rPr>
              <w:t>3.</w:t>
            </w:r>
            <w:r>
              <w:rPr>
                <w:rFonts w:hint="eastAsia"/>
                <w:sz w:val="21"/>
                <w:szCs w:val="21"/>
                <w:highlight w:val="none"/>
              </w:rPr>
              <w:t>5.1</w:t>
            </w:r>
          </w:p>
        </w:tc>
        <w:tc>
          <w:tcPr>
            <w:tcW w:w="1559" w:type="dxa"/>
            <w:tcBorders>
              <w:top w:val="single" w:color="auto" w:sz="4" w:space="0"/>
              <w:left w:val="single" w:color="auto" w:sz="4" w:space="0"/>
              <w:bottom w:val="single" w:color="auto" w:sz="4" w:space="0"/>
              <w:right w:val="single" w:color="auto" w:sz="4" w:space="0"/>
            </w:tcBorders>
            <w:vAlign w:val="center"/>
          </w:tcPr>
          <w:p w14:paraId="71C0FE39">
            <w:pPr>
              <w:adjustRightInd w:val="0"/>
              <w:snapToGrid w:val="0"/>
              <w:jc w:val="center"/>
              <w:rPr>
                <w:sz w:val="21"/>
                <w:szCs w:val="21"/>
                <w:highlight w:val="none"/>
              </w:rPr>
            </w:pPr>
            <w:r>
              <w:rPr>
                <w:sz w:val="21"/>
                <w:szCs w:val="21"/>
                <w:highlight w:val="none"/>
                <w:lang w:bidi="ar"/>
              </w:rPr>
              <w:t>投标文件相关信息的核查</w:t>
            </w:r>
          </w:p>
        </w:tc>
        <w:tc>
          <w:tcPr>
            <w:tcW w:w="7028" w:type="dxa"/>
            <w:tcBorders>
              <w:top w:val="single" w:color="auto" w:sz="4" w:space="0"/>
              <w:left w:val="single" w:color="auto" w:sz="4" w:space="0"/>
              <w:bottom w:val="single" w:color="auto" w:sz="4" w:space="0"/>
              <w:right w:val="single" w:color="auto" w:sz="4" w:space="0"/>
            </w:tcBorders>
            <w:vAlign w:val="center"/>
          </w:tcPr>
          <w:p w14:paraId="58030D72">
            <w:pPr>
              <w:adjustRightInd w:val="0"/>
              <w:snapToGrid w:val="0"/>
              <w:jc w:val="left"/>
              <w:rPr>
                <w:b/>
                <w:sz w:val="21"/>
                <w:szCs w:val="21"/>
                <w:highlight w:val="none"/>
                <w:lang w:bidi="ar"/>
              </w:rPr>
            </w:pPr>
            <w:r>
              <w:rPr>
                <w:b/>
                <w:sz w:val="21"/>
                <w:szCs w:val="21"/>
                <w:highlight w:val="none"/>
                <w:lang w:bidi="ar"/>
              </w:rPr>
              <w:t>本款修改为：</w:t>
            </w:r>
          </w:p>
          <w:p w14:paraId="44B9D109">
            <w:pPr>
              <w:adjustRightInd w:val="0"/>
              <w:snapToGrid w:val="0"/>
              <w:jc w:val="left"/>
              <w:rPr>
                <w:rFonts w:hint="eastAsia"/>
                <w:sz w:val="21"/>
                <w:szCs w:val="21"/>
                <w:highlight w:val="none"/>
                <w:lang w:bidi="ar"/>
              </w:rPr>
            </w:pPr>
            <w:r>
              <w:rPr>
                <w:sz w:val="21"/>
                <w:szCs w:val="21"/>
                <w:highlight w:val="none"/>
                <w:lang w:bidi="ar"/>
              </w:rPr>
              <w:t>在评标过程中，评标委员会应对以下信息进行查询：</w:t>
            </w:r>
          </w:p>
          <w:p w14:paraId="32FAB02A">
            <w:pPr>
              <w:adjustRightInd w:val="0"/>
              <w:snapToGrid w:val="0"/>
              <w:jc w:val="left"/>
              <w:rPr>
                <w:rFonts w:hint="eastAsia"/>
                <w:sz w:val="21"/>
                <w:szCs w:val="21"/>
                <w:highlight w:val="none"/>
                <w:lang w:bidi="ar"/>
              </w:rPr>
            </w:pPr>
            <w:r>
              <w:rPr>
                <w:sz w:val="21"/>
                <w:szCs w:val="21"/>
                <w:highlight w:val="none"/>
                <w:lang w:bidi="ar"/>
              </w:rPr>
              <w:t>（</w:t>
            </w:r>
            <w:r>
              <w:rPr>
                <w:rFonts w:hint="eastAsia"/>
                <w:sz w:val="21"/>
                <w:szCs w:val="21"/>
                <w:highlight w:val="none"/>
                <w:lang w:val="en-US" w:eastAsia="zh-CN" w:bidi="ar"/>
              </w:rPr>
              <w:t>1</w:t>
            </w:r>
            <w:r>
              <w:rPr>
                <w:sz w:val="21"/>
                <w:szCs w:val="21"/>
                <w:highlight w:val="none"/>
                <w:lang w:bidi="ar"/>
              </w:rPr>
              <w:t>）</w:t>
            </w:r>
            <w:r>
              <w:rPr>
                <w:rFonts w:hint="eastAsia"/>
                <w:sz w:val="21"/>
                <w:szCs w:val="21"/>
                <w:highlight w:val="none"/>
                <w:lang w:bidi="ar"/>
              </w:rPr>
              <w:t>评标委员会在评标过程中将对投标人的信誉情况进行查询。如投标</w:t>
            </w:r>
          </w:p>
          <w:p w14:paraId="4FF50B3F">
            <w:pPr>
              <w:adjustRightInd w:val="0"/>
              <w:snapToGrid w:val="0"/>
              <w:jc w:val="left"/>
              <w:rPr>
                <w:rFonts w:hint="eastAsia"/>
                <w:sz w:val="21"/>
                <w:szCs w:val="21"/>
                <w:highlight w:val="none"/>
                <w:lang w:bidi="ar"/>
              </w:rPr>
            </w:pPr>
            <w:r>
              <w:rPr>
                <w:rFonts w:hint="eastAsia"/>
                <w:sz w:val="21"/>
                <w:szCs w:val="21"/>
                <w:highlight w:val="none"/>
                <w:lang w:bidi="ar"/>
              </w:rPr>
              <w:t>人存在下列情形之一的，评标委员会应否决其投标。</w:t>
            </w:r>
          </w:p>
          <w:p w14:paraId="3CE3FDF6">
            <w:pPr>
              <w:adjustRightInd w:val="0"/>
              <w:snapToGrid w:val="0"/>
              <w:jc w:val="left"/>
              <w:rPr>
                <w:rFonts w:hint="eastAsia"/>
                <w:sz w:val="21"/>
                <w:szCs w:val="21"/>
                <w:highlight w:val="none"/>
                <w:lang w:bidi="ar"/>
              </w:rPr>
            </w:pPr>
            <w:r>
              <w:rPr>
                <w:rFonts w:hint="eastAsia"/>
                <w:sz w:val="21"/>
                <w:szCs w:val="21"/>
                <w:highlight w:val="none"/>
                <w:lang w:bidi="ar"/>
              </w:rPr>
              <w:t>1)在国家企业信用信息公示系统(https://www.gsxt.gov.cn/)中被列入严重违法失信名单(黑名单)(不含分公司);</w:t>
            </w:r>
          </w:p>
          <w:p w14:paraId="41F04833">
            <w:pPr>
              <w:adjustRightInd w:val="0"/>
              <w:snapToGrid w:val="0"/>
              <w:jc w:val="left"/>
              <w:rPr>
                <w:rFonts w:hint="eastAsia"/>
                <w:sz w:val="21"/>
                <w:szCs w:val="21"/>
                <w:highlight w:val="none"/>
                <w:lang w:bidi="ar"/>
              </w:rPr>
            </w:pPr>
            <w:r>
              <w:rPr>
                <w:rFonts w:hint="eastAsia"/>
                <w:sz w:val="21"/>
                <w:szCs w:val="21"/>
                <w:highlight w:val="none"/>
                <w:lang w:bidi="ar"/>
              </w:rPr>
              <w:t>2)在“信用中国"网站(http://www.creditchina.gov.cn/)中被列入经营(活动)异常名录、重大税收违法失信主体名单</w:t>
            </w:r>
            <w:r>
              <w:rPr>
                <w:rFonts w:hint="eastAsia"/>
                <w:sz w:val="21"/>
                <w:szCs w:val="21"/>
                <w:highlight w:val="none"/>
                <w:lang w:eastAsia="zh-CN" w:bidi="ar"/>
              </w:rPr>
              <w:t>、</w:t>
            </w:r>
            <w:r>
              <w:rPr>
                <w:rFonts w:hint="eastAsia"/>
                <w:sz w:val="21"/>
                <w:szCs w:val="21"/>
                <w:highlight w:val="none"/>
                <w:lang w:bidi="ar"/>
              </w:rPr>
              <w:t>政府采购严重违法失信行为记录名单和安全生产严重失信主体名单(均不含分公司);</w:t>
            </w:r>
          </w:p>
          <w:p w14:paraId="35BEC819">
            <w:pPr>
              <w:adjustRightInd w:val="0"/>
              <w:snapToGrid w:val="0"/>
              <w:jc w:val="left"/>
              <w:rPr>
                <w:rFonts w:hint="eastAsia"/>
                <w:sz w:val="21"/>
                <w:szCs w:val="21"/>
                <w:highlight w:val="none"/>
                <w:lang w:bidi="ar"/>
              </w:rPr>
            </w:pPr>
            <w:r>
              <w:rPr>
                <w:rFonts w:hint="eastAsia"/>
                <w:sz w:val="21"/>
                <w:szCs w:val="21"/>
                <w:highlight w:val="none"/>
                <w:lang w:bidi="ar"/>
              </w:rPr>
              <w:t>3)在中国执行信息公开网(zxgk.court.gov.cn)中被列入失信被执行人(不含分公司)。</w:t>
            </w:r>
          </w:p>
          <w:p w14:paraId="785C3036">
            <w:pPr>
              <w:adjustRightInd w:val="0"/>
              <w:snapToGrid w:val="0"/>
              <w:jc w:val="left"/>
              <w:rPr>
                <w:rFonts w:hint="eastAsia"/>
                <w:sz w:val="21"/>
                <w:szCs w:val="21"/>
                <w:highlight w:val="none"/>
                <w:lang w:val="en-US" w:eastAsia="zh-CN" w:bidi="ar"/>
              </w:rPr>
            </w:pPr>
            <w:r>
              <w:rPr>
                <w:rFonts w:hint="eastAsia"/>
                <w:sz w:val="21"/>
                <w:szCs w:val="21"/>
                <w:highlight w:val="none"/>
                <w:lang w:val="en-US" w:eastAsia="zh-CN" w:bidi="ar"/>
              </w:rPr>
              <w:t>注：以上查询结果以开标当日查询结果为准。</w:t>
            </w:r>
          </w:p>
          <w:p w14:paraId="6A7392C3">
            <w:pPr>
              <w:autoSpaceDE w:val="0"/>
              <w:autoSpaceDN w:val="0"/>
              <w:snapToGrid w:val="0"/>
              <w:spacing w:line="320" w:lineRule="exact"/>
              <w:rPr>
                <w:rFonts w:hint="eastAsia"/>
                <w:sz w:val="21"/>
                <w:szCs w:val="21"/>
                <w:highlight w:val="none"/>
                <w:lang w:eastAsia="zh-CN" w:bidi="ar"/>
              </w:rPr>
            </w:pPr>
            <w:r>
              <w:rPr>
                <w:rFonts w:hint="eastAsia" w:ascii="宋体" w:hAnsi="宋体" w:cs="宋体"/>
                <w:sz w:val="21"/>
                <w:szCs w:val="21"/>
                <w:highlight w:val="none"/>
              </w:rPr>
              <w:t>（2）如项目经理为一级注册建造师，评标委员会在“全国建筑市场监管公共服务平台”</w:t>
            </w:r>
            <w:r>
              <w:rPr>
                <w:rFonts w:hint="eastAsia" w:ascii="宋体" w:hAnsi="宋体" w:cs="宋体"/>
                <w:sz w:val="21"/>
                <w:szCs w:val="21"/>
                <w:highlight w:val="none"/>
                <w:lang w:val="en-US" w:eastAsia="zh-CN"/>
              </w:rPr>
              <w:t>对</w:t>
            </w:r>
            <w:r>
              <w:rPr>
                <w:rFonts w:hint="eastAsia" w:ascii="宋体" w:hAnsi="宋体" w:cs="宋体"/>
                <w:sz w:val="21"/>
                <w:szCs w:val="21"/>
                <w:highlight w:val="none"/>
              </w:rPr>
              <w:t>一级注册建造师证书查询复核，复核结果与投标人所附信息不一致的，评标委员会应否决其投标。</w:t>
            </w:r>
          </w:p>
          <w:p w14:paraId="264DA74E">
            <w:pPr>
              <w:numPr>
                <w:ilvl w:val="0"/>
                <w:numId w:val="1"/>
              </w:numPr>
              <w:adjustRightInd w:val="0"/>
              <w:snapToGrid w:val="0"/>
              <w:jc w:val="left"/>
              <w:rPr>
                <w:rFonts w:hint="eastAsia"/>
                <w:sz w:val="21"/>
                <w:szCs w:val="21"/>
                <w:highlight w:val="none"/>
                <w:lang w:eastAsia="zh-CN" w:bidi="ar"/>
              </w:rPr>
            </w:pPr>
            <w:r>
              <w:rPr>
                <w:rFonts w:hint="eastAsia"/>
                <w:sz w:val="21"/>
                <w:szCs w:val="21"/>
                <w:highlight w:val="none"/>
                <w:lang w:eastAsia="zh-CN" w:bidi="ar"/>
              </w:rPr>
              <w:t>评标委员会在评标时按照投标人提供的验证方式对电子保函或电子保证保险进行验证。如投标人未提供电子保函或电子保证保险的验证方式，或根据提供的验证方式无法核实的，评标委员会应否决其投标。</w:t>
            </w:r>
          </w:p>
          <w:p w14:paraId="173B8E09">
            <w:pPr>
              <w:adjustRightInd w:val="0"/>
              <w:snapToGrid w:val="0"/>
              <w:jc w:val="left"/>
              <w:rPr>
                <w:rFonts w:hint="eastAsia"/>
                <w:sz w:val="21"/>
                <w:szCs w:val="21"/>
                <w:highlight w:val="none"/>
                <w:lang w:eastAsia="zh-CN" w:bidi="ar"/>
              </w:rPr>
            </w:pPr>
            <w:r>
              <w:rPr>
                <w:sz w:val="21"/>
                <w:szCs w:val="21"/>
                <w:highlight w:val="none"/>
                <w:lang w:bidi="ar"/>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tc>
      </w:tr>
      <w:tr w14:paraId="79AF5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7" w:type="dxa"/>
            <w:tcBorders>
              <w:top w:val="single" w:color="auto" w:sz="4" w:space="0"/>
              <w:left w:val="single" w:color="auto" w:sz="4" w:space="0"/>
              <w:bottom w:val="single" w:color="auto" w:sz="4" w:space="0"/>
              <w:right w:val="single" w:color="auto" w:sz="4" w:space="0"/>
            </w:tcBorders>
            <w:vAlign w:val="center"/>
          </w:tcPr>
          <w:p w14:paraId="2A4A0F29">
            <w:pPr>
              <w:adjustRightInd w:val="0"/>
              <w:snapToGrid w:val="0"/>
              <w:jc w:val="center"/>
              <w:rPr>
                <w:rFonts w:hint="default" w:eastAsia="宋体"/>
                <w:sz w:val="21"/>
                <w:szCs w:val="21"/>
                <w:highlight w:val="none"/>
                <w:lang w:val="en-US" w:eastAsia="zh-CN"/>
              </w:rPr>
            </w:pPr>
            <w:r>
              <w:rPr>
                <w:rFonts w:hint="eastAsia"/>
                <w:sz w:val="21"/>
                <w:szCs w:val="21"/>
                <w:highlight w:val="none"/>
                <w:lang w:val="en-US" w:eastAsia="zh-CN"/>
              </w:rPr>
              <w:t>3.5.2</w:t>
            </w:r>
          </w:p>
        </w:tc>
        <w:tc>
          <w:tcPr>
            <w:tcW w:w="1559" w:type="dxa"/>
            <w:tcBorders>
              <w:top w:val="single" w:color="auto" w:sz="4" w:space="0"/>
              <w:left w:val="single" w:color="auto" w:sz="4" w:space="0"/>
              <w:bottom w:val="single" w:color="auto" w:sz="4" w:space="0"/>
              <w:right w:val="single" w:color="auto" w:sz="4" w:space="0"/>
            </w:tcBorders>
            <w:vAlign w:val="center"/>
          </w:tcPr>
          <w:p w14:paraId="282D6429">
            <w:pPr>
              <w:adjustRightInd w:val="0"/>
              <w:snapToGrid w:val="0"/>
              <w:jc w:val="left"/>
              <w:rPr>
                <w:rFonts w:hint="eastAsia" w:ascii="Times New Roman" w:hAnsi="Times New Roman" w:eastAsia="宋体" w:cs="Times New Roman"/>
                <w:sz w:val="21"/>
                <w:szCs w:val="21"/>
                <w:highlight w:val="none"/>
                <w:lang w:bidi="ar"/>
              </w:rPr>
            </w:pPr>
            <w:r>
              <w:rPr>
                <w:rFonts w:hint="eastAsia" w:ascii="Times New Roman" w:hAnsi="Times New Roman" w:eastAsia="宋体" w:cs="Times New Roman"/>
                <w:sz w:val="21"/>
                <w:szCs w:val="21"/>
                <w:highlight w:val="none"/>
                <w:lang w:bidi="ar"/>
              </w:rPr>
              <w:t>投标人其他异常投标情形</w:t>
            </w:r>
          </w:p>
          <w:p w14:paraId="73F079BC">
            <w:pPr>
              <w:adjustRightInd w:val="0"/>
              <w:snapToGrid w:val="0"/>
              <w:jc w:val="left"/>
              <w:rPr>
                <w:rFonts w:ascii="Times New Roman" w:hAnsi="Times New Roman" w:eastAsia="宋体" w:cs="Times New Roman"/>
                <w:sz w:val="21"/>
                <w:szCs w:val="21"/>
                <w:highlight w:val="none"/>
                <w:lang w:bidi="ar"/>
              </w:rPr>
            </w:pPr>
          </w:p>
        </w:tc>
        <w:tc>
          <w:tcPr>
            <w:tcW w:w="7028" w:type="dxa"/>
            <w:tcBorders>
              <w:top w:val="single" w:color="auto" w:sz="4" w:space="0"/>
              <w:left w:val="single" w:color="auto" w:sz="4" w:space="0"/>
              <w:bottom w:val="single" w:color="auto" w:sz="4" w:space="0"/>
              <w:right w:val="single" w:color="auto" w:sz="4" w:space="0"/>
            </w:tcBorders>
            <w:vAlign w:val="center"/>
          </w:tcPr>
          <w:p w14:paraId="380ED3E8">
            <w:pPr>
              <w:adjustRightInd w:val="0"/>
              <w:snapToGrid w:val="0"/>
              <w:jc w:val="left"/>
              <w:rPr>
                <w:rFonts w:hint="eastAsia" w:ascii="Times New Roman" w:hAnsi="Times New Roman" w:eastAsia="宋体" w:cs="Times New Roman"/>
                <w:sz w:val="21"/>
                <w:szCs w:val="21"/>
                <w:highlight w:val="none"/>
                <w:lang w:val="en-US" w:eastAsia="zh-CN" w:bidi="ar"/>
              </w:rPr>
            </w:pPr>
            <w:r>
              <w:rPr>
                <w:rFonts w:hint="eastAsia" w:ascii="Times New Roman" w:hAnsi="Times New Roman" w:eastAsia="宋体" w:cs="Times New Roman"/>
                <w:sz w:val="21"/>
                <w:szCs w:val="21"/>
                <w:highlight w:val="none"/>
                <w:lang w:val="en-US" w:eastAsia="zh-CN" w:bidi="ar"/>
              </w:rPr>
              <w:t>本款增加：</w:t>
            </w:r>
          </w:p>
          <w:p w14:paraId="5496FB43">
            <w:pPr>
              <w:snapToGrid w:val="0"/>
              <w:spacing w:line="288"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评标委员会在评标过程中发现存在投标文件异常一致或投标活动异常关联等异常投标情形的，应当要求投标人作出解释说明</w:t>
            </w:r>
            <w:r>
              <w:rPr>
                <w:rFonts w:hint="eastAsia" w:ascii="Times New Roman" w:hAnsi="Times New Roman" w:eastAsia="宋体" w:cs="Times New Roman"/>
                <w:sz w:val="21"/>
                <w:szCs w:val="21"/>
                <w:highlight w:val="none"/>
              </w:rPr>
              <w:t>并提供相应的证明材料。投标人不能合理说明或者不能提供相应证明材料的，</w:t>
            </w:r>
            <w:r>
              <w:rPr>
                <w:rFonts w:hint="eastAsia" w:ascii="宋体" w:hAnsi="宋体" w:cs="宋体"/>
                <w:sz w:val="21"/>
                <w:szCs w:val="21"/>
                <w:highlight w:val="none"/>
              </w:rPr>
              <w:t>评标委员会</w:t>
            </w:r>
            <w:r>
              <w:rPr>
                <w:rFonts w:hint="eastAsia" w:ascii="宋体" w:hAnsi="宋体" w:cs="宋体"/>
                <w:sz w:val="21"/>
                <w:szCs w:val="21"/>
                <w:highlight w:val="none"/>
                <w:lang w:val="en-US" w:eastAsia="zh-CN"/>
              </w:rPr>
              <w:t>应当认定该投标人</w:t>
            </w:r>
            <w:r>
              <w:rPr>
                <w:rFonts w:hint="eastAsia" w:ascii="宋体" w:hAnsi="宋体" w:cs="宋体"/>
                <w:sz w:val="21"/>
                <w:szCs w:val="21"/>
                <w:highlight w:val="none"/>
              </w:rPr>
              <w:t>存在串通投标等违法行为，</w:t>
            </w:r>
            <w:r>
              <w:rPr>
                <w:rFonts w:hint="eastAsia" w:ascii="宋体" w:hAnsi="宋体" w:cs="宋体"/>
                <w:sz w:val="21"/>
                <w:szCs w:val="21"/>
                <w:highlight w:val="none"/>
                <w:lang w:val="en-US" w:eastAsia="zh-CN"/>
              </w:rPr>
              <w:t>并</w:t>
            </w:r>
            <w:r>
              <w:rPr>
                <w:rFonts w:hint="eastAsia" w:ascii="宋体" w:hAnsi="宋体" w:cs="宋体"/>
                <w:sz w:val="21"/>
                <w:szCs w:val="21"/>
                <w:highlight w:val="none"/>
              </w:rPr>
              <w:t>否决其投标。</w:t>
            </w:r>
          </w:p>
          <w:p w14:paraId="5F8EB716">
            <w:pPr>
              <w:snapToGrid w:val="0"/>
              <w:spacing w:line="288"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有下列情形之一的，属于投标文件异常一致或投标活动异常关联等异常投标情形：</w:t>
            </w:r>
          </w:p>
          <w:p w14:paraId="33C2F6AC">
            <w:pPr>
              <w:snapToGrid w:val="0"/>
              <w:spacing w:line="288"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（1）投标人投标文件制作机器码雷同；</w:t>
            </w:r>
          </w:p>
          <w:p w14:paraId="1B91377C">
            <w:pPr>
              <w:snapToGrid w:val="0"/>
              <w:spacing w:line="288"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（2）投标文件创建标识码雷同；</w:t>
            </w:r>
          </w:p>
          <w:p w14:paraId="38355EF6">
            <w:pPr>
              <w:snapToGrid w:val="0"/>
              <w:spacing w:line="288"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（3）投标文件制作计算机MAC地址雷同；</w:t>
            </w:r>
          </w:p>
          <w:p w14:paraId="4701534B">
            <w:pPr>
              <w:snapToGrid w:val="0"/>
              <w:spacing w:line="288"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（4）投标文件制作计算机硬盘序列号雷同；</w:t>
            </w:r>
          </w:p>
          <w:p w14:paraId="3FF10742">
            <w:pPr>
              <w:snapToGrid w:val="0"/>
              <w:spacing w:line="288"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5</w:t>
            </w:r>
            <w:r>
              <w:rPr>
                <w:rFonts w:hint="eastAsia" w:ascii="宋体" w:hAnsi="宋体" w:cs="宋体"/>
                <w:sz w:val="21"/>
                <w:szCs w:val="21"/>
                <w:highlight w:val="none"/>
              </w:rPr>
              <w:t>）投标文件上传IP地址雷同；</w:t>
            </w:r>
          </w:p>
          <w:p w14:paraId="73DBC98F">
            <w:pPr>
              <w:adjustRightInd w:val="0"/>
              <w:snapToGrid w:val="0"/>
              <w:ind w:firstLine="420" w:firstLineChars="200"/>
              <w:jc w:val="left"/>
              <w:rPr>
                <w:rFonts w:ascii="Times New Roman" w:hAnsi="Times New Roman" w:eastAsia="宋体" w:cs="Times New Roman"/>
                <w:sz w:val="21"/>
                <w:szCs w:val="21"/>
                <w:highlight w:val="none"/>
                <w:lang w:bidi="ar"/>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6</w:t>
            </w:r>
            <w:r>
              <w:rPr>
                <w:rFonts w:hint="eastAsia" w:ascii="宋体" w:hAnsi="宋体" w:cs="宋体"/>
                <w:sz w:val="21"/>
                <w:szCs w:val="21"/>
                <w:highlight w:val="none"/>
              </w:rPr>
              <w:t>）投标文件解密IP地址雷同。</w:t>
            </w:r>
          </w:p>
        </w:tc>
      </w:tr>
      <w:tr w14:paraId="1B318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9464" w:type="dxa"/>
            <w:gridSpan w:val="3"/>
            <w:tcBorders>
              <w:top w:val="single" w:color="auto" w:sz="4" w:space="0"/>
              <w:left w:val="single" w:color="auto" w:sz="4" w:space="0"/>
              <w:bottom w:val="single" w:color="auto" w:sz="4" w:space="0"/>
              <w:right w:val="single" w:color="auto" w:sz="4" w:space="0"/>
            </w:tcBorders>
            <w:vAlign w:val="center"/>
          </w:tcPr>
          <w:p w14:paraId="31C60AFD">
            <w:pPr>
              <w:adjustRightInd w:val="0"/>
              <w:snapToGrid w:val="0"/>
              <w:jc w:val="left"/>
              <w:rPr>
                <w:b/>
                <w:sz w:val="21"/>
                <w:szCs w:val="21"/>
                <w:highlight w:val="none"/>
                <w:lang w:bidi="ar"/>
              </w:rPr>
            </w:pPr>
            <w:r>
              <w:rPr>
                <w:b/>
                <w:sz w:val="21"/>
                <w:szCs w:val="21"/>
                <w:highlight w:val="none"/>
                <w:lang w:bidi="ar"/>
              </w:rPr>
              <w:t>需补充的其他内容：</w:t>
            </w:r>
            <w:r>
              <w:rPr>
                <w:sz w:val="21"/>
                <w:szCs w:val="21"/>
                <w:highlight w:val="none"/>
                <w:lang w:bidi="ar"/>
              </w:rPr>
              <w:t>无</w:t>
            </w:r>
          </w:p>
        </w:tc>
      </w:tr>
    </w:tbl>
    <w:p w14:paraId="14F3D62F">
      <w:pPr>
        <w:rPr>
          <w:sz w:val="21"/>
          <w:szCs w:val="21"/>
          <w:highlight w:val="none"/>
        </w:rPr>
      </w:pPr>
    </w:p>
    <w:p w14:paraId="0735701A">
      <w:pPr>
        <w:rPr>
          <w:b/>
          <w:sz w:val="21"/>
          <w:szCs w:val="21"/>
          <w:highlight w:val="none"/>
        </w:rPr>
      </w:pPr>
      <w:r>
        <w:rPr>
          <w:b/>
          <w:sz w:val="21"/>
          <w:szCs w:val="21"/>
          <w:highlight w:val="none"/>
        </w:rPr>
        <w:t>具体评分标准如下：</w:t>
      </w:r>
    </w:p>
    <w:tbl>
      <w:tblPr>
        <w:tblStyle w:val="7"/>
        <w:tblW w:w="5091" w:type="pct"/>
        <w:tblInd w:w="-17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57" w:type="dxa"/>
          <w:bottom w:w="0" w:type="dxa"/>
          <w:right w:w="57" w:type="dxa"/>
        </w:tblCellMar>
      </w:tblPr>
      <w:tblGrid>
        <w:gridCol w:w="964"/>
        <w:gridCol w:w="439"/>
        <w:gridCol w:w="714"/>
        <w:gridCol w:w="1875"/>
        <w:gridCol w:w="4581"/>
      </w:tblGrid>
      <w:tr w14:paraId="14620C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508" w:hRule="exact"/>
        </w:trPr>
        <w:tc>
          <w:tcPr>
            <w:tcW w:w="562" w:type="pct"/>
            <w:vAlign w:val="center"/>
          </w:tcPr>
          <w:p w14:paraId="3C452807">
            <w:pPr>
              <w:autoSpaceDE w:val="0"/>
              <w:autoSpaceDN w:val="0"/>
              <w:adjustRightInd w:val="0"/>
              <w:snapToGrid w:val="0"/>
              <w:jc w:val="center"/>
              <w:rPr>
                <w:b/>
                <w:kern w:val="0"/>
                <w:sz w:val="21"/>
                <w:szCs w:val="21"/>
                <w:highlight w:val="none"/>
              </w:rPr>
            </w:pPr>
            <w:r>
              <w:rPr>
                <w:b/>
                <w:kern w:val="0"/>
                <w:sz w:val="21"/>
                <w:szCs w:val="21"/>
                <w:highlight w:val="none"/>
              </w:rPr>
              <w:t>条款号</w:t>
            </w:r>
          </w:p>
        </w:tc>
        <w:tc>
          <w:tcPr>
            <w:tcW w:w="1765" w:type="pct"/>
            <w:gridSpan w:val="3"/>
            <w:tcBorders>
              <w:right w:val="single" w:color="auto" w:sz="4" w:space="0"/>
            </w:tcBorders>
            <w:vAlign w:val="center"/>
          </w:tcPr>
          <w:p w14:paraId="2E0180C4">
            <w:pPr>
              <w:autoSpaceDE w:val="0"/>
              <w:autoSpaceDN w:val="0"/>
              <w:adjustRightInd w:val="0"/>
              <w:snapToGrid w:val="0"/>
              <w:jc w:val="center"/>
              <w:rPr>
                <w:b/>
                <w:kern w:val="0"/>
                <w:sz w:val="21"/>
                <w:szCs w:val="21"/>
                <w:highlight w:val="none"/>
              </w:rPr>
            </w:pPr>
            <w:r>
              <w:rPr>
                <w:b/>
                <w:kern w:val="0"/>
                <w:sz w:val="21"/>
                <w:szCs w:val="21"/>
                <w:highlight w:val="none"/>
              </w:rPr>
              <w:t>评审因素与权重分值</w:t>
            </w:r>
          </w:p>
        </w:tc>
        <w:tc>
          <w:tcPr>
            <w:tcW w:w="2671" w:type="pct"/>
            <w:tcBorders>
              <w:left w:val="single" w:color="auto" w:sz="4" w:space="0"/>
              <w:bottom w:val="single" w:color="auto" w:sz="4" w:space="0"/>
            </w:tcBorders>
            <w:vAlign w:val="center"/>
          </w:tcPr>
          <w:p w14:paraId="12055717">
            <w:pPr>
              <w:autoSpaceDE w:val="0"/>
              <w:autoSpaceDN w:val="0"/>
              <w:adjustRightInd w:val="0"/>
              <w:snapToGrid w:val="0"/>
              <w:jc w:val="center"/>
              <w:rPr>
                <w:b/>
                <w:kern w:val="0"/>
                <w:sz w:val="21"/>
                <w:szCs w:val="21"/>
                <w:highlight w:val="none"/>
              </w:rPr>
            </w:pPr>
            <w:r>
              <w:rPr>
                <w:b/>
                <w:kern w:val="0"/>
                <w:sz w:val="21"/>
                <w:szCs w:val="21"/>
                <w:highlight w:val="none"/>
              </w:rPr>
              <w:t>评分标准</w:t>
            </w:r>
          </w:p>
        </w:tc>
      </w:tr>
      <w:tr w14:paraId="05A3C7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2173" w:hRule="exact"/>
        </w:trPr>
        <w:tc>
          <w:tcPr>
            <w:tcW w:w="562" w:type="pct"/>
            <w:vAlign w:val="center"/>
          </w:tcPr>
          <w:p w14:paraId="445B0A8B">
            <w:pPr>
              <w:autoSpaceDE w:val="0"/>
              <w:autoSpaceDN w:val="0"/>
              <w:adjustRightInd w:val="0"/>
              <w:snapToGrid w:val="0"/>
              <w:jc w:val="center"/>
              <w:rPr>
                <w:sz w:val="21"/>
                <w:szCs w:val="21"/>
                <w:highlight w:val="none"/>
              </w:rPr>
            </w:pPr>
            <w:r>
              <w:rPr>
                <w:sz w:val="21"/>
                <w:szCs w:val="21"/>
                <w:highlight w:val="none"/>
              </w:rPr>
              <w:t>2.2.4</w:t>
            </w:r>
          </w:p>
        </w:tc>
        <w:tc>
          <w:tcPr>
            <w:tcW w:w="256" w:type="pct"/>
            <w:vAlign w:val="center"/>
          </w:tcPr>
          <w:p w14:paraId="74D8D1CA">
            <w:pPr>
              <w:autoSpaceDE w:val="0"/>
              <w:autoSpaceDN w:val="0"/>
              <w:adjustRightInd w:val="0"/>
              <w:snapToGrid w:val="0"/>
              <w:jc w:val="center"/>
              <w:rPr>
                <w:kern w:val="0"/>
                <w:sz w:val="21"/>
                <w:szCs w:val="21"/>
                <w:highlight w:val="none"/>
              </w:rPr>
            </w:pPr>
            <w:r>
              <w:rPr>
                <w:kern w:val="0"/>
                <w:sz w:val="21"/>
                <w:szCs w:val="21"/>
                <w:highlight w:val="none"/>
              </w:rPr>
              <w:t>评标价</w:t>
            </w:r>
          </w:p>
        </w:tc>
        <w:tc>
          <w:tcPr>
            <w:tcW w:w="416" w:type="pct"/>
            <w:vAlign w:val="center"/>
          </w:tcPr>
          <w:p w14:paraId="083A0353">
            <w:pPr>
              <w:autoSpaceDE w:val="0"/>
              <w:autoSpaceDN w:val="0"/>
              <w:adjustRightInd w:val="0"/>
              <w:snapToGrid w:val="0"/>
              <w:jc w:val="center"/>
              <w:rPr>
                <w:kern w:val="0"/>
                <w:sz w:val="21"/>
                <w:szCs w:val="21"/>
                <w:highlight w:val="none"/>
              </w:rPr>
            </w:pPr>
            <w:r>
              <w:rPr>
                <w:kern w:val="0"/>
                <w:sz w:val="21"/>
                <w:szCs w:val="21"/>
                <w:highlight w:val="none"/>
              </w:rPr>
              <w:t>100分</w:t>
            </w:r>
          </w:p>
        </w:tc>
        <w:tc>
          <w:tcPr>
            <w:tcW w:w="3763" w:type="pct"/>
            <w:gridSpan w:val="2"/>
            <w:vAlign w:val="center"/>
          </w:tcPr>
          <w:p w14:paraId="12888683">
            <w:pPr>
              <w:pStyle w:val="5"/>
              <w:adjustRightInd w:val="0"/>
              <w:snapToGrid w:val="0"/>
              <w:jc w:val="left"/>
              <w:rPr>
                <w:rFonts w:ascii="Times New Roman" w:hAnsi="Times New Roman"/>
                <w:szCs w:val="21"/>
                <w:highlight w:val="none"/>
              </w:rPr>
            </w:pPr>
            <w:r>
              <w:rPr>
                <w:rFonts w:ascii="Times New Roman" w:hAnsi="Times New Roman"/>
                <w:szCs w:val="21"/>
                <w:highlight w:val="none"/>
              </w:rPr>
              <w:t>评标价得分计算公式：</w:t>
            </w:r>
          </w:p>
          <w:p w14:paraId="0FEC23D3">
            <w:pPr>
              <w:adjustRightInd w:val="0"/>
              <w:snapToGrid w:val="0"/>
              <w:jc w:val="left"/>
              <w:rPr>
                <w:bCs/>
                <w:sz w:val="21"/>
                <w:szCs w:val="21"/>
                <w:highlight w:val="none"/>
              </w:rPr>
            </w:pPr>
            <w:r>
              <w:rPr>
                <w:bCs/>
                <w:sz w:val="21"/>
                <w:szCs w:val="21"/>
                <w:highlight w:val="none"/>
              </w:rPr>
              <w:t>a.如果投标人的评标价＞评标基准价，则评标价得分＝100－偏差率×100×E1；</w:t>
            </w:r>
          </w:p>
          <w:p w14:paraId="4A42CCD8">
            <w:pPr>
              <w:adjustRightInd w:val="0"/>
              <w:snapToGrid w:val="0"/>
              <w:jc w:val="left"/>
              <w:rPr>
                <w:bCs/>
                <w:sz w:val="21"/>
                <w:szCs w:val="21"/>
                <w:highlight w:val="none"/>
              </w:rPr>
            </w:pPr>
            <w:r>
              <w:rPr>
                <w:bCs/>
                <w:sz w:val="21"/>
                <w:szCs w:val="21"/>
                <w:highlight w:val="none"/>
              </w:rPr>
              <w:t>b.如果投标人的评标价≤评标基准价，则评标价得分＝100＋偏差率×100×E2；</w:t>
            </w:r>
          </w:p>
          <w:p w14:paraId="49BF43CD">
            <w:pPr>
              <w:pStyle w:val="5"/>
              <w:adjustRightInd w:val="0"/>
              <w:snapToGrid w:val="0"/>
              <w:jc w:val="left"/>
              <w:rPr>
                <w:rFonts w:ascii="Times New Roman" w:hAnsi="Times New Roman"/>
                <w:szCs w:val="21"/>
                <w:highlight w:val="none"/>
              </w:rPr>
            </w:pPr>
            <w:r>
              <w:rPr>
                <w:rFonts w:ascii="Times New Roman" w:hAnsi="Times New Roman"/>
                <w:bCs/>
                <w:szCs w:val="21"/>
                <w:highlight w:val="none"/>
              </w:rPr>
              <w:t>其中，E1是评标价每高于评标基准价一个百分点的扣分值，E1</w:t>
            </w:r>
            <w:r>
              <w:rPr>
                <w:rFonts w:hint="eastAsia" w:ascii="Times New Roman" w:hAnsi="Times New Roman"/>
                <w:bCs/>
                <w:szCs w:val="21"/>
                <w:highlight w:val="none"/>
                <w:lang w:val="en-US" w:eastAsia="zh-CN"/>
              </w:rPr>
              <w:t>=</w:t>
            </w:r>
            <w:r>
              <w:rPr>
                <w:rFonts w:ascii="Times New Roman" w:hAnsi="Times New Roman"/>
                <w:bCs/>
                <w:szCs w:val="21"/>
                <w:highlight w:val="none"/>
              </w:rPr>
              <w:t>2；E2是评标价每低于评标基准价一个百分点的扣分值，E2</w:t>
            </w:r>
            <w:r>
              <w:rPr>
                <w:rFonts w:hint="eastAsia" w:ascii="Times New Roman" w:hAnsi="Times New Roman"/>
                <w:bCs/>
                <w:szCs w:val="21"/>
                <w:highlight w:val="none"/>
                <w:lang w:val="en-US" w:eastAsia="zh-CN"/>
              </w:rPr>
              <w:t>=</w:t>
            </w:r>
            <w:r>
              <w:rPr>
                <w:rFonts w:ascii="Times New Roman" w:hAnsi="Times New Roman"/>
                <w:bCs/>
                <w:szCs w:val="21"/>
                <w:highlight w:val="none"/>
              </w:rPr>
              <w:t>1。</w:t>
            </w:r>
          </w:p>
          <w:p w14:paraId="4EF8258B">
            <w:pPr>
              <w:pStyle w:val="5"/>
              <w:adjustRightInd w:val="0"/>
              <w:snapToGrid w:val="0"/>
              <w:jc w:val="left"/>
              <w:rPr>
                <w:rFonts w:ascii="Times New Roman" w:hAnsi="Times New Roman"/>
                <w:szCs w:val="21"/>
                <w:highlight w:val="none"/>
              </w:rPr>
            </w:pPr>
            <w:r>
              <w:rPr>
                <w:rFonts w:ascii="Times New Roman" w:hAnsi="Times New Roman"/>
                <w:szCs w:val="21"/>
                <w:highlight w:val="none"/>
              </w:rPr>
              <w:t>注：评标价得分保留小数点后两位，小数点后第三位四舍五入。</w:t>
            </w:r>
          </w:p>
        </w:tc>
      </w:tr>
    </w:tbl>
    <w:p w14:paraId="680E432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CC"/>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Sans Serif">
    <w:altName w:val="Segoe Print"/>
    <w:panose1 w:val="000000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E4BF07"/>
    <w:multiLevelType w:val="singleLevel"/>
    <w:tmpl w:val="B2E4BF07"/>
    <w:lvl w:ilvl="0" w:tentative="0">
      <w:start w:val="3"/>
      <w:numFmt w:val="decimal"/>
      <w:suff w:val="nothing"/>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鲁鹏">
    <w15:presenceInfo w15:providerId="WPS Office" w15:userId="88067839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E52E51"/>
    <w:rsid w:val="1FE52E51"/>
    <w:rsid w:val="2B784F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8"/>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4">
    <w:name w:val="Body Text"/>
    <w:basedOn w:val="1"/>
    <w:qFormat/>
    <w:uiPriority w:val="0"/>
    <w:rPr>
      <w:kern w:val="2"/>
      <w:szCs w:val="24"/>
    </w:rPr>
  </w:style>
  <w:style w:type="paragraph" w:styleId="5">
    <w:name w:val="Plain Text"/>
    <w:basedOn w:val="1"/>
    <w:qFormat/>
    <w:uiPriority w:val="0"/>
    <w:rPr>
      <w:rFonts w:ascii="宋体" w:hAnsi="Courier New"/>
      <w:kern w:val="2"/>
      <w:sz w:val="21"/>
    </w:rPr>
  </w:style>
  <w:style w:type="paragraph" w:styleId="6">
    <w:name w:val="Normal (Web)"/>
    <w:basedOn w:val="1"/>
    <w:qFormat/>
    <w:uiPriority w:val="0"/>
    <w:pPr>
      <w:widowControl/>
      <w:spacing w:before="100" w:beforeAutospacing="1" w:after="100" w:afterAutospacing="1" w:line="432" w:lineRule="auto"/>
      <w:ind w:firstLine="480"/>
      <w:jc w:val="left"/>
    </w:pPr>
    <w:rPr>
      <w:rFonts w:ascii="宋体" w:hAnsi="宋体"/>
      <w:kern w:val="0"/>
      <w:sz w:val="24"/>
      <w:szCs w:val="24"/>
    </w:rPr>
  </w:style>
  <w:style w:type="character" w:styleId="9">
    <w:name w:val="Hyperlink"/>
    <w:qFormat/>
    <w:uiPriority w:val="99"/>
    <w:rPr>
      <w:color w:val="333333"/>
      <w:u w:val="none"/>
    </w:rPr>
  </w:style>
  <w:style w:type="paragraph" w:customStyle="1" w:styleId="10">
    <w:name w:val="样式 宋体 小四 行距: 1.5 倍行距 首行缩进:  2 字符"/>
    <w:basedOn w:val="1"/>
    <w:next w:val="1"/>
    <w:qFormat/>
    <w:uiPriority w:val="0"/>
    <w:pPr>
      <w:spacing w:line="360" w:lineRule="auto"/>
      <w:ind w:firstLine="480" w:firstLineChars="200"/>
    </w:pPr>
    <w:rPr>
      <w:rFonts w:ascii="宋体" w:hAnsi="宋体" w:cs="宋体"/>
      <w:sz w:val="24"/>
    </w:rPr>
  </w:style>
  <w:style w:type="paragraph" w:customStyle="1" w:styleId="11">
    <w:name w:val="1正文"/>
    <w:basedOn w:val="1"/>
    <w:autoRedefine/>
    <w:qFormat/>
    <w:uiPriority w:val="0"/>
    <w:pPr>
      <w:widowControl/>
      <w:autoSpaceDE w:val="0"/>
      <w:autoSpaceDN w:val="0"/>
      <w:adjustRightInd w:val="0"/>
      <w:spacing w:after="200"/>
      <w:ind w:firstLine="200" w:firstLineChars="200"/>
      <w:jc w:val="left"/>
    </w:pPr>
    <w:rPr>
      <w:rFonts w:ascii="宋体" w:hAnsi="MS Sans Serif"/>
      <w:kern w:val="0"/>
      <w:sz w:val="21"/>
      <w:szCs w:val="21"/>
      <w:lang w:val="zh-CN" w:bidi="en-US"/>
    </w:rPr>
  </w:style>
  <w:style w:type="paragraph" w:customStyle="1" w:styleId="12">
    <w:name w:val="Table Paragraph"/>
    <w:basedOn w:val="1"/>
    <w:autoRedefine/>
    <w:qFormat/>
    <w:uiPriority w:val="99"/>
    <w:pPr>
      <w:autoSpaceDE w:val="0"/>
      <w:autoSpaceDN w:val="0"/>
      <w:jc w:val="left"/>
    </w:pPr>
    <w:rPr>
      <w:rFonts w:ascii="宋体" w:hAnsi="宋体" w:cs="宋体"/>
      <w:kern w:val="0"/>
      <w:sz w:val="22"/>
      <w:szCs w:val="22"/>
      <w:lang w:val="zh-CN" w:bidi="zh-CN"/>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5472</Words>
  <Characters>6073</Characters>
  <Lines>0</Lines>
  <Paragraphs>0</Paragraphs>
  <TotalTime>0</TotalTime>
  <ScaleCrop>false</ScaleCrop>
  <LinksUpToDate>false</LinksUpToDate>
  <CharactersWithSpaces>6093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2026-08-21T15:38:00Z</dcterms:created>
  <dc:creator>鲁鹏</dc:creator>
  <cp:lastModifiedBy>冯士峰</cp:lastModifiedBy>
  <dcterms:modified xsi:type="dcterms:W3CDTF">2026-08-21T16:44:54Z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B477B71A79CB46EAAA01539731CD91FF_11</vt:lpwstr>
  </property>
  <property fmtid="{D5CDD505-2E9C-101B-9397-08002B2CF9AE}" pid="4" name="KSOTemplateDocerSaveRecord">
    <vt:lpwstr>eyJoZGlkIjoiMjNhMGNiNzBmYzRmYmU1YWU1ZDVjYzI3MTI0YTIzZjQiLCJ1c2VySWQiOiIxNjg3ODQzOTczIn0=</vt:lpwstr>
  </property>
</Properties>
</file>