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CE428">
      <w:pPr>
        <w:snapToGrid w:val="0"/>
        <w:spacing w:line="360" w:lineRule="auto"/>
        <w:jc w:val="right"/>
        <w:rPr>
          <w:color w:val="auto"/>
          <w:highlight w:val="none"/>
        </w:rPr>
      </w:pPr>
    </w:p>
    <w:p w14:paraId="04425CEC">
      <w:pPr>
        <w:pStyle w:val="3"/>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0" w:name="_Toc131956854"/>
      <w:r>
        <w:rPr>
          <w:rFonts w:hint="eastAsia" w:cs="Times New Roman" w:asciiTheme="minorEastAsia" w:hAnsiTheme="minorEastAsia" w:eastAsiaTheme="minorEastAsia"/>
          <w:color w:val="auto"/>
          <w:spacing w:val="-2"/>
          <w:sz w:val="24"/>
          <w:szCs w:val="24"/>
          <w:highlight w:val="none"/>
        </w:rPr>
        <w:t>附件1：资格审查条件</w:t>
      </w:r>
      <w:bookmarkEnd w:id="0"/>
    </w:p>
    <w:p w14:paraId="036374EE">
      <w:pPr>
        <w:pStyle w:val="3"/>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1" w:name="_Toc131956855"/>
      <w:r>
        <w:rPr>
          <w:rFonts w:hint="eastAsia" w:cs="Times New Roman" w:asciiTheme="minorEastAsia" w:hAnsiTheme="minorEastAsia" w:eastAsiaTheme="minorEastAsia"/>
          <w:color w:val="auto"/>
          <w:spacing w:val="-2"/>
          <w:sz w:val="24"/>
          <w:szCs w:val="24"/>
          <w:highlight w:val="none"/>
        </w:rPr>
        <w:t>附录1  资格审查条件(资质最低</w:t>
      </w:r>
      <w:r>
        <w:rPr>
          <w:rFonts w:hint="eastAsia" w:cs="Times New Roman" w:asciiTheme="minorEastAsia" w:hAnsiTheme="minorEastAsia" w:eastAsiaTheme="minorEastAsia"/>
          <w:color w:val="auto"/>
          <w:spacing w:val="-2"/>
          <w:sz w:val="24"/>
          <w:szCs w:val="24"/>
          <w:highlight w:val="none"/>
          <w:lang w:eastAsia="zh-CN"/>
        </w:rPr>
        <w:t>要求</w:t>
      </w:r>
      <w:r>
        <w:rPr>
          <w:rFonts w:hint="eastAsia" w:cs="Times New Roman" w:asciiTheme="minorEastAsia" w:hAnsiTheme="minorEastAsia" w:eastAsiaTheme="minorEastAsia"/>
          <w:color w:val="auto"/>
          <w:spacing w:val="-2"/>
          <w:sz w:val="24"/>
          <w:szCs w:val="24"/>
          <w:highlight w:val="none"/>
        </w:rPr>
        <w:t>)</w:t>
      </w:r>
      <w:bookmarkEnd w:id="1"/>
    </w:p>
    <w:tbl>
      <w:tblPr>
        <w:tblStyle w:val="5"/>
        <w:tblW w:w="75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514"/>
      </w:tblGrid>
      <w:tr w14:paraId="25865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92" w:hRule="atLeast"/>
          <w:jc w:val="center"/>
        </w:trPr>
        <w:tc>
          <w:tcPr>
            <w:tcW w:w="7514" w:type="dxa"/>
            <w:tcBorders>
              <w:top w:val="single" w:color="000000" w:sz="2" w:space="0"/>
              <w:left w:val="single" w:color="auto" w:sz="4" w:space="0"/>
              <w:bottom w:val="single" w:color="000000" w:sz="4" w:space="0"/>
              <w:right w:val="single" w:color="000000" w:sz="2" w:space="0"/>
            </w:tcBorders>
            <w:vAlign w:val="center"/>
          </w:tcPr>
          <w:p w14:paraId="164AE7D2">
            <w:pPr>
              <w:keepNext w:val="0"/>
              <w:keepLines w:val="0"/>
              <w:suppressLineNumbers w:val="0"/>
              <w:spacing w:before="0" w:beforeAutospacing="0" w:after="0" w:afterAutospacing="0"/>
              <w:ind w:left="0" w:right="0"/>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资质要求</w:t>
            </w:r>
          </w:p>
        </w:tc>
      </w:tr>
      <w:tr w14:paraId="7D160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restart"/>
            <w:tcBorders>
              <w:top w:val="single" w:color="000000" w:sz="2" w:space="0"/>
              <w:left w:val="single" w:color="auto" w:sz="4" w:space="0"/>
              <w:right w:val="single" w:color="000000" w:sz="2" w:space="0"/>
            </w:tcBorders>
            <w:vAlign w:val="center"/>
          </w:tcPr>
          <w:p w14:paraId="2E2189B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1.中华人民共和国境内的法人或其他组织</w:t>
            </w:r>
            <w:r>
              <w:rPr>
                <w:rFonts w:hint="eastAsia" w:ascii="宋体" w:hAnsi="宋体" w:cs="宋体"/>
                <w:color w:val="auto"/>
                <w:kern w:val="0"/>
                <w:szCs w:val="21"/>
                <w:highlight w:val="none"/>
                <w:lang w:eastAsia="zh-CN" w:bidi="ar"/>
              </w:rPr>
              <w:t>；</w:t>
            </w:r>
          </w:p>
          <w:p w14:paraId="0C942DF1">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bidi="ar"/>
              </w:rPr>
              <w:t>2.具备交通运输部颁发的公路工程机电专项监理资质。</w:t>
            </w:r>
          </w:p>
        </w:tc>
      </w:tr>
      <w:tr w14:paraId="4F383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continue"/>
            <w:tcBorders>
              <w:left w:val="single" w:color="auto" w:sz="4" w:space="0"/>
              <w:bottom w:val="single" w:color="000000" w:sz="2" w:space="0"/>
              <w:right w:val="single" w:color="000000" w:sz="2" w:space="0"/>
            </w:tcBorders>
            <w:vAlign w:val="center"/>
          </w:tcPr>
          <w:p w14:paraId="31A960E1">
            <w:pPr>
              <w:pStyle w:val="10"/>
              <w:keepNext w:val="0"/>
              <w:keepLines w:val="0"/>
              <w:suppressLineNumbers w:val="0"/>
              <w:spacing w:before="0" w:beforeAutospacing="0" w:after="0" w:afterAutospacing="0" w:line="240" w:lineRule="auto"/>
              <w:ind w:left="0" w:right="0"/>
              <w:rPr>
                <w:rFonts w:hint="eastAsia" w:hAnsi="宋体"/>
                <w:color w:val="auto"/>
                <w:kern w:val="2"/>
                <w:szCs w:val="24"/>
                <w:highlight w:val="none"/>
              </w:rPr>
            </w:pPr>
          </w:p>
        </w:tc>
      </w:tr>
      <w:tr w14:paraId="1CFB2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continue"/>
            <w:tcBorders>
              <w:left w:val="single" w:color="auto" w:sz="4" w:space="0"/>
              <w:bottom w:val="single" w:color="000000" w:sz="2" w:space="0"/>
              <w:right w:val="single" w:color="000000" w:sz="2" w:space="0"/>
            </w:tcBorders>
            <w:vAlign w:val="center"/>
          </w:tcPr>
          <w:p w14:paraId="3944518A">
            <w:pPr>
              <w:pStyle w:val="10"/>
              <w:keepNext w:val="0"/>
              <w:keepLines w:val="0"/>
              <w:suppressLineNumbers w:val="0"/>
              <w:spacing w:before="0" w:beforeAutospacing="0" w:after="0" w:afterAutospacing="0" w:line="240" w:lineRule="auto"/>
              <w:ind w:left="0" w:right="0"/>
              <w:rPr>
                <w:rFonts w:hint="eastAsia" w:hAnsi="宋体"/>
                <w:color w:val="auto"/>
                <w:kern w:val="2"/>
                <w:szCs w:val="24"/>
                <w:highlight w:val="none"/>
              </w:rPr>
            </w:pPr>
          </w:p>
        </w:tc>
      </w:tr>
    </w:tbl>
    <w:p w14:paraId="5070C1BF">
      <w:pPr>
        <w:rPr>
          <w:color w:val="auto"/>
          <w:highlight w:val="none"/>
        </w:rPr>
      </w:pPr>
    </w:p>
    <w:p w14:paraId="15E416E3">
      <w:pPr>
        <w:pStyle w:val="3"/>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2" w:name="_Toc131956856"/>
      <w:r>
        <w:rPr>
          <w:rFonts w:hint="eastAsia" w:cs="Times New Roman" w:asciiTheme="minorEastAsia" w:hAnsiTheme="minorEastAsia" w:eastAsiaTheme="minorEastAsia"/>
          <w:color w:val="auto"/>
          <w:spacing w:val="-2"/>
          <w:sz w:val="24"/>
          <w:szCs w:val="24"/>
          <w:highlight w:val="none"/>
        </w:rPr>
        <w:t>附录2  资格审查条件(业绩最低要求)</w:t>
      </w:r>
      <w:bookmarkEnd w:id="2"/>
    </w:p>
    <w:tbl>
      <w:tblPr>
        <w:tblStyle w:val="5"/>
        <w:tblW w:w="750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501"/>
      </w:tblGrid>
      <w:tr w14:paraId="65D83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42" w:hRule="atLeast"/>
          <w:jc w:val="center"/>
        </w:trPr>
        <w:tc>
          <w:tcPr>
            <w:tcW w:w="7501" w:type="dxa"/>
            <w:tcBorders>
              <w:top w:val="single" w:color="000000" w:sz="2" w:space="0"/>
              <w:left w:val="single" w:color="auto" w:sz="4" w:space="0"/>
              <w:bottom w:val="single" w:color="000000" w:sz="4" w:space="0"/>
              <w:right w:val="single" w:color="000000" w:sz="2" w:space="0"/>
            </w:tcBorders>
            <w:vAlign w:val="center"/>
          </w:tcPr>
          <w:p w14:paraId="00448CBE">
            <w:pPr>
              <w:keepNext w:val="0"/>
              <w:keepLines w:val="0"/>
              <w:suppressLineNumbers w:val="0"/>
              <w:spacing w:before="0" w:beforeAutospacing="0" w:after="0" w:afterAutospacing="0"/>
              <w:ind w:left="0" w:right="0"/>
              <w:jc w:val="center"/>
              <w:textAlignment w:val="baseline"/>
              <w:rPr>
                <w:rStyle w:val="8"/>
                <w:rFonts w:hint="eastAsia" w:ascii="宋体" w:hAnsi="宋体" w:cs="宋体"/>
                <w:b/>
                <w:color w:val="auto"/>
                <w:szCs w:val="21"/>
                <w:highlight w:val="none"/>
              </w:rPr>
            </w:pPr>
            <w:r>
              <w:rPr>
                <w:rStyle w:val="8"/>
                <w:rFonts w:hint="eastAsia" w:ascii="宋体" w:hAnsi="宋体" w:cs="宋体"/>
                <w:b/>
                <w:color w:val="auto"/>
                <w:szCs w:val="21"/>
                <w:highlight w:val="none"/>
              </w:rPr>
              <w:t>业绩要求</w:t>
            </w:r>
          </w:p>
        </w:tc>
      </w:tr>
      <w:tr w14:paraId="6D40C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7" w:hRule="atLeast"/>
          <w:jc w:val="center"/>
        </w:trPr>
        <w:tc>
          <w:tcPr>
            <w:tcW w:w="7501" w:type="dxa"/>
            <w:tcBorders>
              <w:top w:val="single" w:color="000000" w:sz="2" w:space="0"/>
              <w:left w:val="single" w:color="auto" w:sz="4" w:space="0"/>
              <w:bottom w:val="single" w:color="auto" w:sz="4" w:space="0"/>
              <w:right w:val="single" w:color="000000" w:sz="2" w:space="0"/>
            </w:tcBorders>
            <w:vAlign w:val="center"/>
          </w:tcPr>
          <w:p w14:paraId="05DDD65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近5年内（202</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月1日至今，以交工时间为准）至少完成过1项合同金额不少于</w:t>
            </w:r>
            <w:r>
              <w:rPr>
                <w:rFonts w:hint="eastAsia" w:ascii="宋体" w:hAnsi="宋体" w:cs="宋体"/>
                <w:color w:val="auto"/>
                <w:kern w:val="0"/>
                <w:szCs w:val="21"/>
                <w:highlight w:val="none"/>
                <w:lang w:val="en-US" w:eastAsia="zh-CN" w:bidi="ar"/>
              </w:rPr>
              <w:t>100</w:t>
            </w:r>
            <w:r>
              <w:rPr>
                <w:rFonts w:hint="eastAsia" w:ascii="宋体" w:hAnsi="宋体" w:cs="宋体"/>
                <w:color w:val="auto"/>
                <w:kern w:val="0"/>
                <w:szCs w:val="21"/>
                <w:highlight w:val="none"/>
                <w:lang w:bidi="ar"/>
              </w:rPr>
              <w:t>万元（含）高速公路的机电工程</w:t>
            </w:r>
            <w:r>
              <w:rPr>
                <w:rFonts w:hint="eastAsia" w:ascii="宋体" w:hAnsi="宋体" w:cs="宋体"/>
                <w:color w:val="auto"/>
                <w:kern w:val="0"/>
                <w:szCs w:val="21"/>
                <w:highlight w:val="none"/>
                <w:lang w:val="en-US" w:eastAsia="zh-CN" w:bidi="ar"/>
              </w:rPr>
              <w:t>施工</w:t>
            </w:r>
            <w:r>
              <w:rPr>
                <w:rFonts w:hint="eastAsia" w:ascii="宋体" w:hAnsi="宋体" w:cs="宋体"/>
                <w:color w:val="auto"/>
                <w:kern w:val="0"/>
                <w:szCs w:val="21"/>
                <w:highlight w:val="none"/>
                <w:lang w:bidi="ar"/>
              </w:rPr>
              <w:t>监理业绩。</w:t>
            </w:r>
          </w:p>
        </w:tc>
      </w:tr>
    </w:tbl>
    <w:p w14:paraId="5FE3CFF7">
      <w:pPr>
        <w:pStyle w:val="2"/>
        <w:rPr>
          <w:color w:val="auto"/>
          <w:highlight w:val="none"/>
        </w:rPr>
      </w:pPr>
      <w:bookmarkStart w:id="3" w:name="_Toc131956857"/>
    </w:p>
    <w:p w14:paraId="4902A0C4">
      <w:pPr>
        <w:pStyle w:val="3"/>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附录3  资格审查条件(信誉最低要求)</w:t>
      </w:r>
      <w:bookmarkEnd w:id="3"/>
    </w:p>
    <w:tbl>
      <w:tblPr>
        <w:tblStyle w:val="5"/>
        <w:tblW w:w="74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463"/>
      </w:tblGrid>
      <w:tr w14:paraId="00E8E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20" w:hRule="atLeast"/>
          <w:jc w:val="center"/>
        </w:trPr>
        <w:tc>
          <w:tcPr>
            <w:tcW w:w="7463" w:type="dxa"/>
            <w:tcBorders>
              <w:top w:val="single" w:color="000000" w:sz="2" w:space="0"/>
              <w:left w:val="single" w:color="auto" w:sz="4" w:space="0"/>
              <w:bottom w:val="single" w:color="000000" w:sz="4" w:space="0"/>
              <w:right w:val="single" w:color="000000" w:sz="2" w:space="0"/>
            </w:tcBorders>
            <w:vAlign w:val="center"/>
          </w:tcPr>
          <w:p w14:paraId="7CBBB2CE">
            <w:pPr>
              <w:keepNext w:val="0"/>
              <w:keepLines w:val="0"/>
              <w:suppressLineNumbers w:val="0"/>
              <w:spacing w:before="0" w:beforeAutospacing="0" w:after="0" w:afterAutospacing="0"/>
              <w:ind w:left="0" w:right="0"/>
              <w:jc w:val="center"/>
              <w:textAlignment w:val="baseline"/>
              <w:rPr>
                <w:rStyle w:val="8"/>
                <w:rFonts w:hint="eastAsia" w:asciiTheme="minorEastAsia" w:hAnsiTheme="minorEastAsia" w:eastAsiaTheme="minorEastAsia"/>
                <w:b/>
                <w:color w:val="auto"/>
                <w:szCs w:val="21"/>
                <w:highlight w:val="none"/>
              </w:rPr>
            </w:pPr>
            <w:r>
              <w:rPr>
                <w:rStyle w:val="8"/>
                <w:rFonts w:hint="eastAsia" w:asciiTheme="minorEastAsia" w:hAnsiTheme="minorEastAsia" w:eastAsiaTheme="minorEastAsia"/>
                <w:b/>
                <w:color w:val="auto"/>
                <w:szCs w:val="21"/>
                <w:highlight w:val="none"/>
              </w:rPr>
              <w:t>信誉要求</w:t>
            </w:r>
          </w:p>
        </w:tc>
      </w:tr>
      <w:tr w14:paraId="2BC35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463" w:type="dxa"/>
            <w:vMerge w:val="restart"/>
            <w:tcBorders>
              <w:top w:val="single" w:color="000000" w:sz="2" w:space="0"/>
              <w:left w:val="single" w:color="auto" w:sz="4" w:space="0"/>
              <w:right w:val="single" w:color="000000" w:sz="2" w:space="0"/>
            </w:tcBorders>
            <w:vAlign w:val="center"/>
          </w:tcPr>
          <w:p w14:paraId="042E678A">
            <w:pPr>
              <w:keepNext w:val="0"/>
              <w:keepLines w:val="0"/>
              <w:widowControl/>
              <w:suppressLineNumbers w:val="0"/>
              <w:spacing w:before="0" w:beforeAutospacing="0" w:after="0" w:afterAutospacing="0"/>
              <w:ind w:left="0" w:right="0"/>
              <w:jc w:val="both"/>
              <w:rPr>
                <w:rStyle w:val="8"/>
                <w:rFonts w:hint="eastAsia" w:hAnsi="宋体"/>
                <w:color w:val="auto"/>
                <w:kern w:val="2"/>
                <w:szCs w:val="24"/>
                <w:highlight w:val="none"/>
              </w:rPr>
            </w:pPr>
            <w:r>
              <w:rPr>
                <w:rFonts w:hint="eastAsia" w:ascii="宋体" w:hAnsi="宋体" w:cs="宋体"/>
                <w:color w:val="auto"/>
                <w:kern w:val="0"/>
                <w:szCs w:val="21"/>
                <w:highlight w:val="none"/>
                <w:lang w:bidi="ar"/>
              </w:rPr>
              <w:t>投标人在近1年内(202</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eastAsia="zh-CN" w:bidi="ar"/>
              </w:rPr>
              <w:t>月1日</w:t>
            </w:r>
            <w:r>
              <w:rPr>
                <w:rFonts w:hint="eastAsia" w:ascii="宋体" w:hAnsi="宋体" w:cs="宋体"/>
                <w:color w:val="auto"/>
                <w:kern w:val="0"/>
                <w:szCs w:val="21"/>
                <w:highlight w:val="none"/>
                <w:lang w:bidi="ar"/>
              </w:rPr>
              <w:t>至今)不曾在高速公路机电工程施工监理合同中违约而被驱逐或因投标人自身的原因而使高速公路机电工程施工监理合同被解除。</w:t>
            </w:r>
          </w:p>
        </w:tc>
      </w:tr>
      <w:tr w14:paraId="7573A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5" w:hRule="atLeast"/>
          <w:jc w:val="center"/>
        </w:trPr>
        <w:tc>
          <w:tcPr>
            <w:tcW w:w="7463" w:type="dxa"/>
            <w:vMerge w:val="continue"/>
            <w:tcBorders>
              <w:left w:val="single" w:color="auto" w:sz="4" w:space="0"/>
              <w:right w:val="single" w:color="000000" w:sz="2" w:space="0"/>
            </w:tcBorders>
            <w:vAlign w:val="center"/>
          </w:tcPr>
          <w:p w14:paraId="5BF4DDC8">
            <w:pPr>
              <w:pStyle w:val="10"/>
              <w:keepNext w:val="0"/>
              <w:keepLines w:val="0"/>
              <w:suppressLineNumbers w:val="0"/>
              <w:spacing w:before="0" w:beforeAutospacing="0" w:after="0" w:afterAutospacing="0" w:line="240" w:lineRule="auto"/>
              <w:ind w:left="0" w:right="0"/>
              <w:jc w:val="left"/>
              <w:rPr>
                <w:rStyle w:val="8"/>
                <w:rFonts w:hint="eastAsia" w:hAnsi="宋体"/>
                <w:color w:val="auto"/>
                <w:kern w:val="2"/>
                <w:szCs w:val="24"/>
                <w:highlight w:val="none"/>
              </w:rPr>
            </w:pPr>
          </w:p>
        </w:tc>
      </w:tr>
      <w:tr w14:paraId="573DE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0" w:hRule="atLeast"/>
          <w:jc w:val="center"/>
        </w:trPr>
        <w:tc>
          <w:tcPr>
            <w:tcW w:w="7463" w:type="dxa"/>
            <w:vMerge w:val="continue"/>
            <w:tcBorders>
              <w:left w:val="single" w:color="auto" w:sz="4" w:space="0"/>
              <w:right w:val="single" w:color="000000" w:sz="2" w:space="0"/>
            </w:tcBorders>
            <w:vAlign w:val="center"/>
          </w:tcPr>
          <w:p w14:paraId="799EE874">
            <w:pPr>
              <w:pStyle w:val="10"/>
              <w:keepNext w:val="0"/>
              <w:keepLines w:val="0"/>
              <w:suppressLineNumbers w:val="0"/>
              <w:spacing w:before="0" w:beforeAutospacing="0" w:after="0" w:afterAutospacing="0" w:line="240" w:lineRule="auto"/>
              <w:ind w:left="0" w:right="0"/>
              <w:jc w:val="left"/>
              <w:rPr>
                <w:rStyle w:val="8"/>
                <w:rFonts w:hint="eastAsia" w:hAnsi="宋体"/>
                <w:color w:val="auto"/>
                <w:kern w:val="2"/>
                <w:szCs w:val="24"/>
                <w:highlight w:val="none"/>
              </w:rPr>
            </w:pPr>
          </w:p>
        </w:tc>
      </w:tr>
    </w:tbl>
    <w:p w14:paraId="0DB55411">
      <w:pPr>
        <w:pStyle w:val="3"/>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4" w:name="_Toc131956858"/>
    </w:p>
    <w:p w14:paraId="03227132">
      <w:pPr>
        <w:rPr>
          <w:rFonts w:hint="eastAsia" w:asciiTheme="minorEastAsia" w:hAnsiTheme="minorEastAsia" w:eastAsiaTheme="minorEastAsia"/>
          <w:color w:val="auto"/>
          <w:spacing w:val="-2"/>
          <w:sz w:val="24"/>
          <w:highlight w:val="none"/>
        </w:rPr>
      </w:pPr>
      <w:r>
        <w:rPr>
          <w:rFonts w:hint="eastAsia" w:asciiTheme="minorEastAsia" w:hAnsiTheme="minorEastAsia" w:eastAsiaTheme="minorEastAsia"/>
          <w:color w:val="auto"/>
          <w:spacing w:val="-2"/>
          <w:sz w:val="24"/>
          <w:highlight w:val="none"/>
        </w:rPr>
        <w:br w:type="page"/>
      </w:r>
    </w:p>
    <w:p w14:paraId="76699B56">
      <w:pPr>
        <w:pStyle w:val="3"/>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p>
    <w:p w14:paraId="1EFD510A">
      <w:pPr>
        <w:pStyle w:val="3"/>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附录4  资格审查条件(总监理工程师最低要求)</w:t>
      </w:r>
      <w:bookmarkEnd w:id="4"/>
    </w:p>
    <w:tbl>
      <w:tblPr>
        <w:tblStyle w:val="5"/>
        <w:tblW w:w="73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56"/>
        <w:gridCol w:w="819"/>
        <w:gridCol w:w="4019"/>
        <w:gridCol w:w="1594"/>
      </w:tblGrid>
      <w:tr w14:paraId="564D3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64" w:hRule="atLeast"/>
          <w:jc w:val="center"/>
        </w:trPr>
        <w:tc>
          <w:tcPr>
            <w:tcW w:w="956" w:type="dxa"/>
            <w:tcBorders>
              <w:top w:val="single" w:color="000000" w:sz="2" w:space="0"/>
              <w:left w:val="single" w:color="000000" w:sz="2" w:space="0"/>
              <w:bottom w:val="single" w:color="000000" w:sz="4" w:space="0"/>
              <w:right w:val="single" w:color="000000" w:sz="2" w:space="0"/>
            </w:tcBorders>
            <w:vAlign w:val="center"/>
          </w:tcPr>
          <w:p w14:paraId="0CCA1345">
            <w:pPr>
              <w:keepNext w:val="0"/>
              <w:keepLines w:val="0"/>
              <w:suppressLineNumbers w:val="0"/>
              <w:spacing w:before="0" w:beforeAutospacing="0" w:after="0" w:afterAutospacing="0"/>
              <w:ind w:left="0" w:right="0"/>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人员</w:t>
            </w:r>
          </w:p>
        </w:tc>
        <w:tc>
          <w:tcPr>
            <w:tcW w:w="819" w:type="dxa"/>
            <w:tcBorders>
              <w:top w:val="single" w:color="000000" w:sz="2" w:space="0"/>
              <w:left w:val="single" w:color="000000" w:sz="2" w:space="0"/>
              <w:bottom w:val="single" w:color="000000" w:sz="4" w:space="0"/>
              <w:right w:val="single" w:color="auto" w:sz="4" w:space="0"/>
            </w:tcBorders>
            <w:vAlign w:val="center"/>
          </w:tcPr>
          <w:p w14:paraId="7D0124E0">
            <w:pPr>
              <w:keepNext w:val="0"/>
              <w:keepLines w:val="0"/>
              <w:suppressLineNumbers w:val="0"/>
              <w:spacing w:before="0" w:beforeAutospacing="0" w:after="0" w:afterAutospacing="0"/>
              <w:ind w:left="0" w:right="0"/>
              <w:jc w:val="center"/>
              <w:textAlignment w:val="baseline"/>
              <w:rPr>
                <w:rStyle w:val="8"/>
                <w:rFonts w:hint="default"/>
                <w:b/>
                <w:color w:val="auto"/>
                <w:szCs w:val="21"/>
                <w:highlight w:val="none"/>
              </w:rPr>
            </w:pPr>
            <w:r>
              <w:rPr>
                <w:rStyle w:val="8"/>
                <w:rFonts w:hint="eastAsia" w:ascii="宋体" w:hAnsi="宋体"/>
                <w:b/>
                <w:color w:val="auto"/>
                <w:szCs w:val="21"/>
                <w:highlight w:val="none"/>
              </w:rPr>
              <w:t>数量</w:t>
            </w:r>
          </w:p>
        </w:tc>
        <w:tc>
          <w:tcPr>
            <w:tcW w:w="4019" w:type="dxa"/>
            <w:tcBorders>
              <w:top w:val="single" w:color="000000" w:sz="2" w:space="0"/>
              <w:left w:val="single" w:color="auto" w:sz="4" w:space="0"/>
              <w:bottom w:val="single" w:color="000000" w:sz="4" w:space="0"/>
              <w:right w:val="single" w:color="000000" w:sz="2" w:space="0"/>
            </w:tcBorders>
            <w:vAlign w:val="center"/>
          </w:tcPr>
          <w:p w14:paraId="642DA2A3">
            <w:pPr>
              <w:keepNext w:val="0"/>
              <w:keepLines w:val="0"/>
              <w:suppressLineNumbers w:val="0"/>
              <w:spacing w:before="0" w:beforeAutospacing="0" w:after="0" w:afterAutospacing="0"/>
              <w:ind w:left="0" w:right="0"/>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资质要求</w:t>
            </w:r>
          </w:p>
        </w:tc>
        <w:tc>
          <w:tcPr>
            <w:tcW w:w="1594" w:type="dxa"/>
            <w:tcBorders>
              <w:top w:val="single" w:color="000000" w:sz="2" w:space="0"/>
              <w:left w:val="single" w:color="auto" w:sz="4" w:space="0"/>
              <w:bottom w:val="single" w:color="000000" w:sz="4" w:space="0"/>
              <w:right w:val="single" w:color="000000" w:sz="2" w:space="0"/>
            </w:tcBorders>
            <w:vAlign w:val="center"/>
          </w:tcPr>
          <w:p w14:paraId="2BA4348C">
            <w:pPr>
              <w:keepNext w:val="0"/>
              <w:keepLines w:val="0"/>
              <w:suppressLineNumbers w:val="0"/>
              <w:spacing w:before="0" w:beforeAutospacing="0" w:after="0" w:afterAutospacing="0"/>
              <w:ind w:left="0" w:right="0"/>
              <w:jc w:val="center"/>
              <w:textAlignment w:val="baseline"/>
              <w:rPr>
                <w:rStyle w:val="8"/>
                <w:rFonts w:hint="eastAsia" w:ascii="宋体" w:hAnsi="宋体"/>
                <w:b/>
                <w:color w:val="auto"/>
                <w:szCs w:val="21"/>
                <w:highlight w:val="none"/>
              </w:rPr>
            </w:pPr>
            <w:r>
              <w:rPr>
                <w:rFonts w:hint="eastAsia" w:ascii="宋体" w:hAnsi="宋体" w:cs="宋体"/>
                <w:b/>
                <w:bCs/>
                <w:color w:val="auto"/>
                <w:kern w:val="0"/>
                <w:szCs w:val="21"/>
                <w:highlight w:val="none"/>
              </w:rPr>
              <w:t>在岗要求</w:t>
            </w:r>
          </w:p>
        </w:tc>
      </w:tr>
      <w:tr w14:paraId="5237E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831" w:hRule="atLeast"/>
          <w:jc w:val="center"/>
        </w:trPr>
        <w:tc>
          <w:tcPr>
            <w:tcW w:w="956" w:type="dxa"/>
            <w:tcBorders>
              <w:top w:val="single" w:color="000000" w:sz="2" w:space="0"/>
              <w:left w:val="single" w:color="000000" w:sz="2" w:space="0"/>
              <w:bottom w:val="single" w:color="auto" w:sz="4" w:space="0"/>
              <w:right w:val="single" w:color="000000" w:sz="2" w:space="0"/>
            </w:tcBorders>
            <w:shd w:val="clear" w:color="auto" w:fill="auto"/>
            <w:vAlign w:val="center"/>
          </w:tcPr>
          <w:p w14:paraId="091F6300">
            <w:pPr>
              <w:keepNext w:val="0"/>
              <w:keepLines w:val="0"/>
              <w:widowControl/>
              <w:suppressLineNumbers w:val="0"/>
              <w:spacing w:before="0" w:beforeAutospacing="0" w:after="0" w:afterAutospacing="0"/>
              <w:ind w:left="0" w:right="0"/>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总监理工程师</w:t>
            </w:r>
          </w:p>
        </w:tc>
        <w:tc>
          <w:tcPr>
            <w:tcW w:w="819" w:type="dxa"/>
            <w:tcBorders>
              <w:top w:val="single" w:color="000000" w:sz="2" w:space="0"/>
              <w:left w:val="single" w:color="000000" w:sz="2" w:space="0"/>
              <w:bottom w:val="single" w:color="auto" w:sz="4" w:space="0"/>
              <w:right w:val="single" w:color="auto" w:sz="4" w:space="0"/>
            </w:tcBorders>
            <w:shd w:val="clear" w:color="auto" w:fill="auto"/>
            <w:vAlign w:val="center"/>
          </w:tcPr>
          <w:p w14:paraId="1C68FB8C">
            <w:pPr>
              <w:keepNext w:val="0"/>
              <w:keepLines w:val="0"/>
              <w:widowControl/>
              <w:suppressLineNumbers w:val="0"/>
              <w:spacing w:before="0" w:beforeAutospacing="0" w:after="0" w:afterAutospacing="0"/>
              <w:ind w:left="0" w:right="0"/>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1</w:t>
            </w:r>
          </w:p>
        </w:tc>
        <w:tc>
          <w:tcPr>
            <w:tcW w:w="4019" w:type="dxa"/>
            <w:tcBorders>
              <w:top w:val="single" w:color="000000" w:sz="2" w:space="0"/>
              <w:left w:val="single" w:color="auto" w:sz="4" w:space="0"/>
              <w:right w:val="single" w:color="000000" w:sz="2" w:space="0"/>
            </w:tcBorders>
            <w:shd w:val="clear" w:color="auto" w:fill="auto"/>
            <w:vAlign w:val="center"/>
          </w:tcPr>
          <w:p w14:paraId="140A84E4">
            <w:pPr>
              <w:keepNext w:val="0"/>
              <w:keepLines w:val="0"/>
              <w:widowControl/>
              <w:suppressLineNumbers w:val="0"/>
              <w:spacing w:before="0" w:beforeAutospacing="0" w:after="0" w:afterAutospacing="0"/>
              <w:ind w:left="0" w:right="0"/>
              <w:jc w:val="left"/>
              <w:textAlignment w:val="baseline"/>
              <w:rPr>
                <w:rFonts w:hint="default" w:ascii="宋体" w:hAnsi="宋体" w:eastAsia="宋体" w:cs="宋体"/>
                <w:bCs/>
                <w:color w:val="auto"/>
                <w:highlight w:val="none"/>
                <w:lang w:val="en-US" w:eastAsia="zh-CN"/>
              </w:rPr>
            </w:pPr>
            <w:r>
              <w:rPr>
                <w:rFonts w:hint="eastAsia" w:ascii="宋体" w:hAnsi="宋体" w:cs="宋体"/>
                <w:bCs/>
                <w:color w:val="auto"/>
                <w:highlight w:val="none"/>
              </w:rPr>
              <w:t>高级或以上技术职称，具有交通运输部颁发的监理工程师</w:t>
            </w:r>
            <w:r>
              <w:rPr>
                <w:rFonts w:hint="eastAsia" w:ascii="宋体" w:hAnsi="宋体" w:cs="宋体"/>
                <w:bCs/>
                <w:color w:val="auto"/>
                <w:highlight w:val="none"/>
                <w:lang w:val="en-US" w:eastAsia="zh-CN"/>
              </w:rPr>
              <w:t>注册</w:t>
            </w:r>
            <w:r>
              <w:rPr>
                <w:rFonts w:hint="eastAsia" w:ascii="宋体" w:hAnsi="宋体" w:cs="宋体"/>
                <w:bCs/>
                <w:color w:val="auto"/>
                <w:highlight w:val="none"/>
              </w:rPr>
              <w:t>证书（机电工程专业）或人力资源和社会保障部与交通运输部联合颁发的监理工程师</w:t>
            </w:r>
            <w:r>
              <w:rPr>
                <w:rFonts w:hint="eastAsia" w:ascii="宋体" w:hAnsi="宋体" w:cs="宋体"/>
                <w:bCs/>
                <w:color w:val="auto"/>
                <w:highlight w:val="none"/>
                <w:lang w:val="en-US" w:eastAsia="zh-CN"/>
              </w:rPr>
              <w:t>注册</w:t>
            </w:r>
            <w:r>
              <w:rPr>
                <w:rFonts w:hint="eastAsia" w:ascii="宋体" w:hAnsi="宋体" w:cs="宋体"/>
                <w:bCs/>
                <w:color w:val="auto"/>
                <w:highlight w:val="none"/>
              </w:rPr>
              <w:t>证书（交通运输工程），</w:t>
            </w:r>
            <w:r>
              <w:rPr>
                <w:rFonts w:hint="eastAsia" w:ascii="宋体" w:hAnsi="宋体" w:cs="宋体"/>
                <w:bCs/>
                <w:color w:val="auto"/>
                <w:highlight w:val="none"/>
                <w:lang w:eastAsia="zh-CN"/>
              </w:rPr>
              <w:t>其注册单位名称必须与投标人名称一致</w:t>
            </w:r>
            <w:r>
              <w:rPr>
                <w:rFonts w:hint="eastAsia" w:ascii="宋体" w:hAnsi="宋体" w:cs="宋体"/>
                <w:bCs/>
                <w:color w:val="auto"/>
                <w:highlight w:val="none"/>
              </w:rPr>
              <w:t>；</w:t>
            </w:r>
          </w:p>
          <w:p w14:paraId="287BE849">
            <w:pPr>
              <w:keepNext w:val="0"/>
              <w:keepLines w:val="0"/>
              <w:widowControl/>
              <w:suppressLineNumbers w:val="0"/>
              <w:spacing w:before="0" w:beforeAutospacing="0" w:after="0" w:afterAutospacing="0"/>
              <w:ind w:left="0" w:right="0"/>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近5年内（202</w:t>
            </w:r>
            <w:r>
              <w:rPr>
                <w:rFonts w:hint="eastAsia" w:ascii="宋体" w:hAnsi="宋体" w:cs="宋体"/>
                <w:bCs/>
                <w:color w:val="auto"/>
                <w:highlight w:val="none"/>
                <w:lang w:val="en-US" w:eastAsia="zh-CN"/>
              </w:rPr>
              <w:t>1</w:t>
            </w:r>
            <w:r>
              <w:rPr>
                <w:rFonts w:hint="eastAsia" w:ascii="宋体" w:hAnsi="宋体" w:cs="宋体"/>
                <w:bCs/>
                <w:color w:val="auto"/>
                <w:highlight w:val="none"/>
              </w:rPr>
              <w:t>年</w:t>
            </w:r>
            <w:r>
              <w:rPr>
                <w:rFonts w:hint="eastAsia" w:ascii="宋体" w:hAnsi="宋体" w:cs="宋体"/>
                <w:bCs/>
                <w:color w:val="auto"/>
                <w:highlight w:val="none"/>
                <w:lang w:val="en-US" w:eastAsia="zh-CN"/>
              </w:rPr>
              <w:t>8</w:t>
            </w:r>
            <w:r>
              <w:rPr>
                <w:rFonts w:hint="eastAsia" w:ascii="宋体" w:hAnsi="宋体" w:cs="宋体"/>
                <w:bCs/>
                <w:color w:val="auto"/>
                <w:highlight w:val="none"/>
              </w:rPr>
              <w:t>月1日至今，以交工时间为准）至少担任过1项</w:t>
            </w:r>
            <w:r>
              <w:rPr>
                <w:rFonts w:hint="eastAsia" w:ascii="宋体" w:hAnsi="宋体" w:cs="宋体"/>
                <w:bCs/>
                <w:color w:val="auto"/>
                <w:highlight w:val="none"/>
                <w:lang w:val="en-US" w:eastAsia="zh-CN"/>
              </w:rPr>
              <w:t>合同金额不少于100万元（含）</w:t>
            </w:r>
            <w:r>
              <w:rPr>
                <w:rFonts w:hint="eastAsia" w:ascii="宋体" w:hAnsi="宋体" w:cs="宋体"/>
                <w:bCs/>
                <w:color w:val="auto"/>
                <w:highlight w:val="none"/>
              </w:rPr>
              <w:t>高速公路的机电工程</w:t>
            </w:r>
            <w:r>
              <w:rPr>
                <w:rFonts w:hint="eastAsia" w:ascii="宋体" w:hAnsi="宋体" w:cs="宋体"/>
                <w:bCs/>
                <w:color w:val="auto"/>
                <w:highlight w:val="none"/>
                <w:lang w:val="en-US" w:eastAsia="zh-CN"/>
              </w:rPr>
              <w:t>施工</w:t>
            </w:r>
            <w:r>
              <w:rPr>
                <w:rFonts w:hint="eastAsia" w:ascii="宋体" w:hAnsi="宋体" w:cs="宋体"/>
                <w:bCs/>
                <w:color w:val="auto"/>
                <w:highlight w:val="none"/>
              </w:rPr>
              <w:t>监理工作的总监理工程师或副总监理工程师或驻地监理工程师职务。</w:t>
            </w:r>
          </w:p>
        </w:tc>
        <w:tc>
          <w:tcPr>
            <w:tcW w:w="1594" w:type="dxa"/>
            <w:tcBorders>
              <w:top w:val="single" w:color="000000" w:sz="2" w:space="0"/>
              <w:left w:val="single" w:color="auto" w:sz="4" w:space="0"/>
              <w:right w:val="single" w:color="000000" w:sz="2" w:space="0"/>
            </w:tcBorders>
            <w:vAlign w:val="center"/>
          </w:tcPr>
          <w:p w14:paraId="6D433968">
            <w:pPr>
              <w:keepNext w:val="0"/>
              <w:keepLines w:val="0"/>
              <w:widowControl/>
              <w:suppressLineNumbers w:val="0"/>
              <w:spacing w:before="0" w:beforeAutospacing="0" w:after="0" w:afterAutospacing="0"/>
              <w:ind w:left="0" w:right="0"/>
              <w:jc w:val="left"/>
              <w:textAlignment w:val="baseline"/>
              <w:rPr>
                <w:rFonts w:hint="default" w:cs="宋体"/>
                <w:color w:val="auto"/>
                <w:highlight w:val="none"/>
              </w:rPr>
            </w:pPr>
            <w:r>
              <w:rPr>
                <w:rFonts w:hint="eastAsia" w:ascii="宋体" w:hAnsi="宋体" w:cs="宋体"/>
                <w:bCs/>
                <w:color w:val="auto"/>
                <w:highlight w:val="none"/>
              </w:rPr>
              <w:t>目前未在其他项目上任职，或虽在其他项目上任职但本项目中标后能够从该项目撤离</w:t>
            </w:r>
          </w:p>
        </w:tc>
      </w:tr>
    </w:tbl>
    <w:p w14:paraId="56B6786B">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56F528F">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6F0956B">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09F33FA">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0CFE19AA">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E9C1CF2">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3646539">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6D3EC096">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7A3AC24">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38AF60A">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2D2A21EC">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853AF1A">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3FE668B">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7807549">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3F2B2948">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B90C06A">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65729CB6">
      <w:pPr>
        <w:pStyle w:val="3"/>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D965370">
      <w:pPr>
        <w:pStyle w:val="3"/>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15EF5F9C">
      <w:pPr>
        <w:pStyle w:val="3"/>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401074A4">
      <w:pPr>
        <w:pStyle w:val="3"/>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63409C0B">
      <w:pPr>
        <w:pStyle w:val="3"/>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3B317E46">
      <w:pPr>
        <w:pStyle w:val="3"/>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03C8A45B">
      <w:pPr>
        <w:bidi w:val="0"/>
        <w:rPr>
          <w:rFonts w:hint="eastAsia" w:cs="Times New Roman" w:asciiTheme="minorEastAsia" w:hAnsiTheme="minorEastAsia" w:eastAsiaTheme="minorEastAsia"/>
          <w:color w:val="auto"/>
          <w:spacing w:val="-2"/>
          <w:sz w:val="24"/>
          <w:szCs w:val="24"/>
          <w:highlight w:val="none"/>
        </w:rPr>
      </w:pPr>
    </w:p>
    <w:p w14:paraId="45C852C8">
      <w:pPr>
        <w:bidi w:val="0"/>
        <w:rPr>
          <w:rFonts w:hint="eastAsia" w:cs="Times New Roman" w:asciiTheme="minorEastAsia" w:hAnsiTheme="minorEastAsia" w:eastAsiaTheme="minorEastAsia"/>
          <w:color w:val="auto"/>
          <w:spacing w:val="-2"/>
          <w:sz w:val="24"/>
          <w:szCs w:val="24"/>
          <w:highlight w:val="none"/>
        </w:rPr>
      </w:pPr>
    </w:p>
    <w:p w14:paraId="2A6F25F5">
      <w:pPr>
        <w:rPr>
          <w:rFonts w:hint="eastAsia"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pacing w:val="-2"/>
          <w:sz w:val="24"/>
          <w:szCs w:val="24"/>
          <w:highlight w:val="none"/>
        </w:rPr>
        <w:br w:type="page"/>
      </w:r>
    </w:p>
    <w:p w14:paraId="5E63BEDD">
      <w:pPr>
        <w:pStyle w:val="3"/>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5" w:name="_Toc131956860"/>
      <w:r>
        <w:rPr>
          <w:rFonts w:hint="eastAsia" w:cs="Times New Roman" w:asciiTheme="minorEastAsia" w:hAnsiTheme="minorEastAsia" w:eastAsiaTheme="minorEastAsia"/>
          <w:color w:val="auto"/>
          <w:spacing w:val="-2"/>
          <w:sz w:val="24"/>
          <w:szCs w:val="24"/>
          <w:highlight w:val="none"/>
        </w:rPr>
        <w:t>附件</w:t>
      </w:r>
      <w:r>
        <w:rPr>
          <w:rFonts w:hint="eastAsia" w:cs="Times New Roman" w:asciiTheme="minorEastAsia" w:hAnsiTheme="minorEastAsia" w:eastAsiaTheme="minorEastAsia"/>
          <w:color w:val="auto"/>
          <w:spacing w:val="-2"/>
          <w:sz w:val="24"/>
          <w:szCs w:val="24"/>
          <w:highlight w:val="none"/>
          <w:lang w:val="en-US" w:eastAsia="zh-CN"/>
        </w:rPr>
        <w:t>2</w:t>
      </w:r>
      <w:r>
        <w:rPr>
          <w:rFonts w:hint="eastAsia" w:cs="Times New Roman" w:asciiTheme="minorEastAsia" w:hAnsiTheme="minorEastAsia" w:eastAsiaTheme="minorEastAsia"/>
          <w:color w:val="auto"/>
          <w:spacing w:val="-2"/>
          <w:sz w:val="24"/>
          <w:szCs w:val="24"/>
          <w:highlight w:val="none"/>
        </w:rPr>
        <w:t>：评标办法</w:t>
      </w:r>
      <w:bookmarkEnd w:id="5"/>
    </w:p>
    <w:p w14:paraId="582BECBF">
      <w:pPr>
        <w:pStyle w:val="3"/>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评标办法前附表</w:t>
      </w:r>
    </w:p>
    <w:tbl>
      <w:tblPr>
        <w:tblStyle w:val="5"/>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230"/>
        <w:gridCol w:w="7011"/>
      </w:tblGrid>
      <w:tr w14:paraId="35B3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3" w:type="dxa"/>
            <w:tcBorders>
              <w:top w:val="single" w:color="auto" w:sz="4" w:space="0"/>
              <w:left w:val="single" w:color="auto" w:sz="4" w:space="0"/>
              <w:bottom w:val="single" w:color="auto" w:sz="4" w:space="0"/>
              <w:right w:val="single" w:color="auto" w:sz="4" w:space="0"/>
            </w:tcBorders>
            <w:vAlign w:val="center"/>
          </w:tcPr>
          <w:p w14:paraId="57E4B268">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04C9FD61">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vAlign w:val="center"/>
          </w:tcPr>
          <w:p w14:paraId="362B92E6">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评审因素与评审标准</w:t>
            </w:r>
          </w:p>
        </w:tc>
      </w:tr>
      <w:tr w14:paraId="3516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3D6436DD">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p>
        </w:tc>
        <w:tc>
          <w:tcPr>
            <w:tcW w:w="1230" w:type="dxa"/>
            <w:tcBorders>
              <w:top w:val="single" w:color="auto" w:sz="4" w:space="0"/>
              <w:left w:val="single" w:color="auto" w:sz="4" w:space="0"/>
              <w:bottom w:val="single" w:color="auto" w:sz="4" w:space="0"/>
              <w:right w:val="single" w:color="auto" w:sz="4" w:space="0"/>
            </w:tcBorders>
            <w:vAlign w:val="center"/>
          </w:tcPr>
          <w:p w14:paraId="73C27239">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vAlign w:val="center"/>
          </w:tcPr>
          <w:p w14:paraId="634536DA">
            <w:pPr>
              <w:keepNext w:val="0"/>
              <w:keepLines w:val="0"/>
              <w:suppressLineNumbers w:val="0"/>
              <w:snapToGrid w:val="0"/>
              <w:spacing w:before="0" w:beforeAutospacing="0" w:after="0" w:afterAutospacing="0" w:line="320" w:lineRule="exact"/>
              <w:ind w:left="0" w:right="0" w:firstLine="420" w:firstLineChars="20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DD94F0F">
            <w:pPr>
              <w:keepNext w:val="0"/>
              <w:keepLines w:val="0"/>
              <w:suppressLineNumbers w:val="0"/>
              <w:snapToGrid w:val="0"/>
              <w:spacing w:before="0" w:beforeAutospacing="0" w:after="0" w:afterAutospacing="0" w:line="320" w:lineRule="exact"/>
              <w:ind w:left="205" w:leftChars="97" w:right="0"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700C11AC">
            <w:pPr>
              <w:keepNext w:val="0"/>
              <w:keepLines w:val="0"/>
              <w:suppressLineNumbers w:val="0"/>
              <w:snapToGrid w:val="0"/>
              <w:spacing w:before="0" w:beforeAutospacing="0" w:after="0" w:afterAutospacing="0" w:line="320" w:lineRule="exact"/>
              <w:ind w:left="205" w:leftChars="97" w:right="0"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255C4550">
            <w:pPr>
              <w:keepNext w:val="0"/>
              <w:keepLines w:val="0"/>
              <w:suppressLineNumbers w:val="0"/>
              <w:snapToGrid w:val="0"/>
              <w:spacing w:before="0" w:beforeAutospacing="0" w:after="0" w:afterAutospacing="0" w:line="360" w:lineRule="auto"/>
              <w:ind w:left="0" w:right="0" w:firstLine="210" w:firstLineChars="100"/>
              <w:rPr>
                <w:rFonts w:hint="eastAsia" w:ascii="宋体" w:hAnsi="宋体" w:cs="宋体"/>
                <w:color w:val="auto"/>
                <w:spacing w:val="-4"/>
                <w:szCs w:val="21"/>
                <w:highlight w:val="none"/>
              </w:rPr>
            </w:pPr>
            <w:r>
              <w:rPr>
                <w:rFonts w:hint="eastAsia" w:ascii="宋体" w:hAnsi="宋体" w:cs="宋体"/>
                <w:color w:val="auto"/>
                <w:szCs w:val="21"/>
                <w:highlight w:val="none"/>
              </w:rPr>
              <w:t>（3）投标人满足资格审查条件(业绩最低</w:t>
            </w:r>
            <w:r>
              <w:rPr>
                <w:rFonts w:hint="eastAsia" w:ascii="宋体" w:hAnsi="宋体" w:cs="宋体"/>
                <w:color w:val="auto"/>
                <w:szCs w:val="21"/>
                <w:highlight w:val="none"/>
                <w:lang w:eastAsia="zh-CN"/>
              </w:rPr>
              <w:t>要求</w:t>
            </w:r>
            <w:r>
              <w:rPr>
                <w:rFonts w:hint="eastAsia" w:ascii="宋体" w:hAnsi="宋体" w:cs="宋体"/>
                <w:color w:val="auto"/>
                <w:szCs w:val="21"/>
                <w:highlight w:val="none"/>
              </w:rPr>
              <w:t>)的业绩累计金额高的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优先</w:t>
            </w:r>
            <w:r>
              <w:rPr>
                <w:rFonts w:hint="eastAsia" w:ascii="宋体" w:hAnsi="宋体" w:cs="宋体"/>
                <w:color w:val="auto"/>
                <w:spacing w:val="-4"/>
                <w:szCs w:val="21"/>
                <w:highlight w:val="none"/>
              </w:rPr>
              <w:t>。</w:t>
            </w:r>
          </w:p>
        </w:tc>
      </w:tr>
      <w:tr w14:paraId="66B2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6914354">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2.1.1</w:t>
            </w:r>
          </w:p>
          <w:p w14:paraId="2A326BBC">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2.1.3</w:t>
            </w:r>
          </w:p>
        </w:tc>
        <w:tc>
          <w:tcPr>
            <w:tcW w:w="1230" w:type="dxa"/>
            <w:tcBorders>
              <w:top w:val="single" w:color="auto" w:sz="4" w:space="0"/>
              <w:left w:val="single" w:color="auto" w:sz="4" w:space="0"/>
              <w:bottom w:val="single" w:color="auto" w:sz="4" w:space="0"/>
              <w:right w:val="single" w:color="auto" w:sz="4" w:space="0"/>
            </w:tcBorders>
            <w:vAlign w:val="center"/>
          </w:tcPr>
          <w:p w14:paraId="3A857411">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011" w:type="dxa"/>
            <w:tcBorders>
              <w:top w:val="single" w:color="auto" w:sz="4" w:space="0"/>
              <w:left w:val="single" w:color="auto" w:sz="4" w:space="0"/>
              <w:bottom w:val="single" w:color="auto" w:sz="4" w:space="0"/>
              <w:right w:val="single" w:color="auto" w:sz="4" w:space="0"/>
            </w:tcBorders>
          </w:tcPr>
          <w:p w14:paraId="1B07252A">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第一个信封（商务文件）评审标准：</w:t>
            </w:r>
          </w:p>
          <w:p w14:paraId="1B94C72A">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投标文件按照招标文件规定的格式、内容填写，字迹清晰可辨。</w:t>
            </w:r>
          </w:p>
          <w:p w14:paraId="09177F18">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a．投标函按招标文件规定填报了项目名称、补遗书编号（如有）、质量要求、安全目标、监理服务期限、总监理工程师相关信息</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1A60904B">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7C9CD39D">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1DB0868F">
            <w:pPr>
              <w:pStyle w:val="2"/>
              <w:keepNext w:val="0"/>
              <w:keepLines w:val="0"/>
              <w:suppressLineNumbers w:val="0"/>
              <w:snapToGrid w:val="0"/>
              <w:spacing w:before="0" w:beforeAutospacing="0" w:after="0" w:afterAutospacing="0" w:line="3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（3）投标人按照招标文件的规定提供了投标保证金，并符合投标人须知前附表3.4.1项的相关规定。</w:t>
            </w:r>
          </w:p>
          <w:p w14:paraId="039E8F82">
            <w:pPr>
              <w:keepNext w:val="0"/>
              <w:keepLines w:val="0"/>
              <w:suppressLineNumbers w:val="0"/>
              <w:snapToGrid w:val="0"/>
              <w:spacing w:before="0" w:beforeAutospacing="0" w:after="0" w:afterAutospacing="0" w:line="3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w:t>
            </w:r>
            <w:r>
              <w:rPr>
                <w:rFonts w:hint="eastAsia" w:ascii="宋体" w:hAnsi="宋体" w:cs="宋体"/>
                <w:color w:val="auto"/>
                <w:szCs w:val="21"/>
                <w:highlight w:val="none"/>
                <w:lang w:eastAsia="zh-CN"/>
              </w:rPr>
              <w:t>，授权委托书</w:t>
            </w:r>
            <w:r>
              <w:rPr>
                <w:rFonts w:hint="eastAsia" w:ascii="宋体" w:hAnsi="宋体" w:cs="宋体"/>
                <w:color w:val="auto"/>
                <w:szCs w:val="21"/>
                <w:highlight w:val="none"/>
              </w:rPr>
              <w:t>符合招标文件规定。</w:t>
            </w:r>
          </w:p>
          <w:p w14:paraId="1C4BD3C3">
            <w:pPr>
              <w:keepNext w:val="0"/>
              <w:keepLines w:val="0"/>
              <w:suppressLineNumbers w:val="0"/>
              <w:snapToGrid w:val="0"/>
              <w:spacing w:before="0" w:beforeAutospacing="0" w:after="0" w:afterAutospacing="0" w:line="3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（5）投标人法定代表人若亲自签署投标文件的，提供了法定代表人身份证明</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法定代表人身份证明符合招标文件规定。</w:t>
            </w:r>
          </w:p>
          <w:p w14:paraId="2C7A45D1">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投标人未以联合体形式投标</w:t>
            </w:r>
            <w:r>
              <w:rPr>
                <w:rFonts w:hint="eastAsia" w:ascii="宋体" w:hAnsi="宋体" w:cs="宋体"/>
                <w:color w:val="auto"/>
                <w:kern w:val="0"/>
                <w:szCs w:val="21"/>
                <w:highlight w:val="none"/>
              </w:rPr>
              <w:t>。</w:t>
            </w:r>
          </w:p>
          <w:p w14:paraId="1D5A0F03">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）同一投标人未提交两个以上不同的投标文件。</w:t>
            </w:r>
          </w:p>
          <w:p w14:paraId="12387C4F">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）投标文件中未出现有关投标报价的内容。</w:t>
            </w:r>
          </w:p>
          <w:p w14:paraId="5D019960">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）投标文件载明的招标项目完成期限符合招标文件规定。</w:t>
            </w:r>
          </w:p>
          <w:p w14:paraId="75B68E16">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）投标文件对招标文件的实质性要求和条件作出响应。</w:t>
            </w:r>
          </w:p>
          <w:p w14:paraId="33C42509">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）权利义务符合招标文件规定：</w:t>
            </w:r>
          </w:p>
          <w:p w14:paraId="41472B4B">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a.投标人应接受招标文件规定的风险划分原则，未提出新的风险划分办法；</w:t>
            </w:r>
          </w:p>
          <w:p w14:paraId="35C7C94F">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b.投标人未增加委托人的责任范围，或减少投标人义务；</w:t>
            </w:r>
          </w:p>
          <w:p w14:paraId="30B91977">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c.投标人未提出不同的支付办法；</w:t>
            </w:r>
          </w:p>
          <w:p w14:paraId="3C042292">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d.投标人对合同纠纷、事故处理办法未提出异议；</w:t>
            </w:r>
          </w:p>
          <w:p w14:paraId="68B7E953">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e.投标人在投标活动中无欺诈行为；</w:t>
            </w:r>
          </w:p>
          <w:p w14:paraId="17698C2B">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f.投标人未对合同条款有重要保留。</w:t>
            </w:r>
          </w:p>
          <w:p w14:paraId="0199018F">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ascii="宋体" w:hAnsi="宋体" w:cs="宋体"/>
                <w:b/>
                <w:bCs/>
                <w:color w:val="auto"/>
                <w:kern w:val="0"/>
                <w:szCs w:val="21"/>
                <w:highlight w:val="none"/>
                <w:lang w:bidi="ar"/>
              </w:rPr>
              <w:t>第一个信封（技术文件）评审标准：</w:t>
            </w:r>
            <w:r>
              <w:rPr>
                <w:rFonts w:hint="eastAsia" w:ascii="宋体" w:hAnsi="宋体" w:cs="宋体"/>
                <w:b/>
                <w:bCs/>
                <w:color w:val="auto"/>
                <w:kern w:val="0"/>
                <w:sz w:val="19"/>
                <w:szCs w:val="19"/>
                <w:highlight w:val="none"/>
                <w:lang w:bidi="ar"/>
              </w:rPr>
              <w:t xml:space="preserve"> </w:t>
            </w:r>
          </w:p>
          <w:p w14:paraId="72F7740E">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ascii="宋体" w:hAnsi="宋体" w:cs="宋体"/>
                <w:color w:val="auto"/>
                <w:kern w:val="0"/>
                <w:szCs w:val="21"/>
                <w:highlight w:val="none"/>
                <w:lang w:bidi="ar"/>
              </w:rPr>
              <w:t>技术建议书（暗标）</w:t>
            </w:r>
            <w:r>
              <w:rPr>
                <w:rFonts w:hint="eastAsia" w:ascii="宋体" w:hAnsi="宋体" w:cs="宋体"/>
                <w:color w:val="auto"/>
                <w:kern w:val="0"/>
                <w:szCs w:val="21"/>
                <w:highlight w:val="none"/>
                <w:lang w:val="en-US" w:eastAsia="zh-CN" w:bidi="ar"/>
              </w:rPr>
              <w:t>编制</w:t>
            </w:r>
            <w:r>
              <w:rPr>
                <w:rFonts w:hint="eastAsia" w:ascii="宋体" w:hAnsi="宋体" w:cs="宋体"/>
                <w:color w:val="auto"/>
                <w:kern w:val="0"/>
                <w:szCs w:val="21"/>
                <w:highlight w:val="none"/>
                <w:lang w:bidi="ar"/>
              </w:rPr>
              <w:t>符合招标文件第二章“投标人须知”第 10.4 款的规定。</w:t>
            </w:r>
          </w:p>
          <w:p w14:paraId="59BD5A83">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第二个信封（报价文件）评审标准：</w:t>
            </w:r>
          </w:p>
          <w:p w14:paraId="550F509D">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（1）</w:t>
            </w:r>
            <w:r>
              <w:rPr>
                <w:rFonts w:hint="eastAsia" w:ascii="宋体" w:hAnsi="宋体" w:cs="宋体"/>
                <w:bCs/>
                <w:color w:val="auto"/>
                <w:szCs w:val="21"/>
                <w:highlight w:val="none"/>
              </w:rPr>
              <w:t>投标文件按照招标文件规定的格式、内容填写，字迹清晰可辨。</w:t>
            </w:r>
          </w:p>
          <w:p w14:paraId="3162FEB2">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a．投标函按招标文件规定填报了项目名称</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补遗书编号（如有）</w:t>
            </w:r>
            <w:r>
              <w:rPr>
                <w:rFonts w:hint="eastAsia" w:ascii="宋体" w:hAnsi="宋体" w:cs="宋体"/>
                <w:color w:val="auto"/>
                <w:szCs w:val="21"/>
                <w:highlight w:val="none"/>
              </w:rPr>
              <w:t>、</w:t>
            </w:r>
            <w:r>
              <w:rPr>
                <w:rFonts w:hint="eastAsia" w:ascii="宋体" w:hAnsi="宋体" w:cs="宋体"/>
                <w:bCs/>
                <w:color w:val="auto"/>
                <w:szCs w:val="21"/>
                <w:highlight w:val="none"/>
              </w:rPr>
              <w:t>投标报价（包括大写金额和小写金额）</w:t>
            </w:r>
            <w:r>
              <w:rPr>
                <w:rFonts w:hint="eastAsia" w:ascii="宋体" w:hAnsi="宋体" w:cs="宋体"/>
                <w:bCs/>
                <w:color w:val="auto"/>
                <w:szCs w:val="21"/>
                <w:highlight w:val="none"/>
                <w:lang w:eastAsia="zh-CN"/>
              </w:rPr>
              <w:t>、</w:t>
            </w:r>
            <w:r>
              <w:rPr>
                <w:rFonts w:hint="eastAsia" w:asciiTheme="minorEastAsia" w:hAnsiTheme="minorEastAsia"/>
                <w:strike w:val="0"/>
                <w:color w:val="auto"/>
                <w:sz w:val="21"/>
                <w:szCs w:val="21"/>
                <w:highlight w:val="none"/>
              </w:rPr>
              <w:t>缺陷责任期阶段监理服务费</w:t>
            </w:r>
            <w:r>
              <w:rPr>
                <w:rFonts w:hint="eastAsia" w:ascii="宋体" w:hAnsi="宋体" w:cs="宋体"/>
                <w:bCs/>
                <w:color w:val="auto"/>
                <w:szCs w:val="21"/>
                <w:highlight w:val="none"/>
              </w:rPr>
              <w:t>（包括大写金额和小写金额）等</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0C26361D">
            <w:pPr>
              <w:pStyle w:val="2"/>
              <w:keepNext w:val="0"/>
              <w:keepLines w:val="0"/>
              <w:suppressLineNumbers w:val="0"/>
              <w:snapToGrid w:val="0"/>
              <w:spacing w:before="0" w:beforeAutospacing="0" w:after="0" w:afterAutospacing="0" w:line="32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b.已标价报价清单说明文字与招标文件一致，未进行实质性修改和删减</w:t>
            </w:r>
            <w:r>
              <w:rPr>
                <w:rFonts w:hint="eastAsia" w:ascii="宋体" w:hAnsi="宋体" w:cs="宋体"/>
                <w:color w:val="auto"/>
                <w:szCs w:val="21"/>
                <w:highlight w:val="none"/>
                <w:lang w:eastAsia="zh-CN"/>
              </w:rPr>
              <w:t>；</w:t>
            </w:r>
          </w:p>
          <w:p w14:paraId="577E48EE">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c．投标文件组成齐全完整，内容均按规定填写。</w:t>
            </w:r>
          </w:p>
          <w:p w14:paraId="51AC7B16">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008BD240">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p>
          <w:p w14:paraId="55090085">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（4）投标报价的大写金额能够确定具体数值。</w:t>
            </w:r>
          </w:p>
          <w:p w14:paraId="723810E0">
            <w:pPr>
              <w:keepNext w:val="0"/>
              <w:keepLines w:val="0"/>
              <w:suppressLineNumbers w:val="0"/>
              <w:snapToGrid w:val="0"/>
              <w:spacing w:before="0" w:beforeAutospacing="0" w:after="0" w:afterAutospacing="0" w:line="320" w:lineRule="exact"/>
              <w:ind w:left="0"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（5）同一投标人未提交两个以上不同的投标报价。</w:t>
            </w:r>
          </w:p>
          <w:p w14:paraId="001CFD12">
            <w:pPr>
              <w:keepNext w:val="0"/>
              <w:keepLines w:val="0"/>
              <w:suppressLineNumbers w:val="0"/>
              <w:snapToGrid w:val="0"/>
              <w:spacing w:before="0" w:beforeAutospacing="0" w:after="0" w:afterAutospacing="0" w:line="320" w:lineRule="exact"/>
              <w:ind w:left="0" w:right="0"/>
              <w:jc w:val="left"/>
              <w:textAlignment w:val="baseline"/>
              <w:rPr>
                <w:rFonts w:hint="default"/>
                <w:strike w:val="0"/>
                <w:dstrike w:val="0"/>
                <w:color w:val="auto"/>
                <w:highlight w:val="none"/>
              </w:rPr>
            </w:pPr>
            <w:r>
              <w:rPr>
                <w:rFonts w:hint="eastAsia" w:ascii="宋体" w:hAnsi="宋体" w:cs="宋体"/>
                <w:strike w:val="0"/>
                <w:dstrike w:val="0"/>
                <w:color w:val="auto"/>
                <w:kern w:val="0"/>
                <w:szCs w:val="21"/>
                <w:highlight w:val="none"/>
              </w:rPr>
              <w:t>（6）</w:t>
            </w:r>
            <w:r>
              <w:rPr>
                <w:rFonts w:hint="eastAsia" w:ascii="宋体" w:hAnsi="宋体" w:cs="宋体"/>
                <w:strike w:val="0"/>
                <w:dstrike w:val="0"/>
                <w:color w:val="auto"/>
                <w:kern w:val="0"/>
                <w:szCs w:val="21"/>
                <w:highlight w:val="none"/>
                <w:lang w:val="en-US" w:eastAsia="zh-CN"/>
              </w:rPr>
              <w:t>监理服务费报价表</w:t>
            </w:r>
            <w:r>
              <w:rPr>
                <w:rFonts w:hint="eastAsia" w:ascii="宋体" w:hAnsi="宋体" w:cs="宋体"/>
                <w:strike w:val="0"/>
                <w:dstrike w:val="0"/>
                <w:color w:val="auto"/>
                <w:kern w:val="0"/>
                <w:szCs w:val="21"/>
                <w:highlight w:val="none"/>
              </w:rPr>
              <w:t>中缺陷责任期阶段监理服务费报价不低于监理服务总费用的5%。</w:t>
            </w:r>
          </w:p>
          <w:p w14:paraId="50099652">
            <w:pPr>
              <w:pStyle w:val="11"/>
              <w:keepNext w:val="0"/>
              <w:keepLines w:val="0"/>
              <w:numPr>
                <w:ilvl w:val="0"/>
                <w:numId w:val="0"/>
              </w:numPr>
              <w:suppressLineNumbers w:val="0"/>
              <w:spacing w:before="67" w:beforeAutospacing="0" w:after="0" w:afterAutospacing="0" w:line="257" w:lineRule="auto"/>
              <w:ind w:left="0" w:right="109" w:rightChars="0"/>
              <w:rPr>
                <w:rFonts w:hint="default"/>
                <w:color w:val="auto"/>
                <w:highlight w:val="none"/>
              </w:rPr>
            </w:pPr>
            <w:r>
              <w:rPr>
                <w:rFonts w:hint="eastAsia" w:ascii="宋体" w:hAnsi="宋体" w:eastAsia="宋体" w:cs="宋体"/>
                <w:color w:val="auto"/>
                <w:kern w:val="0"/>
                <w:sz w:val="21"/>
                <w:szCs w:val="21"/>
                <w:highlight w:val="none"/>
                <w:lang w:val="en-US" w:eastAsia="zh-CN" w:bidi="ar-SA"/>
              </w:rPr>
              <w:t>（</w:t>
            </w:r>
            <w:r>
              <w:rPr>
                <w:rFonts w:hint="eastAsia"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）监理服务费用清单中的</w:t>
            </w:r>
            <w:r>
              <w:rPr>
                <w:rFonts w:hint="eastAsia" w:cs="宋体"/>
                <w:color w:val="auto"/>
                <w:kern w:val="0"/>
                <w:sz w:val="21"/>
                <w:szCs w:val="21"/>
                <w:highlight w:val="none"/>
                <w:lang w:val="en-US" w:eastAsia="zh-CN" w:bidi="ar-SA"/>
              </w:rPr>
              <w:t>监理服务总费用</w:t>
            </w:r>
            <w:r>
              <w:rPr>
                <w:rFonts w:hint="eastAsia" w:ascii="宋体" w:hAnsi="宋体" w:eastAsia="宋体" w:cs="宋体"/>
                <w:color w:val="auto"/>
                <w:kern w:val="0"/>
                <w:sz w:val="21"/>
                <w:szCs w:val="21"/>
                <w:highlight w:val="none"/>
                <w:lang w:val="en-US" w:eastAsia="zh-CN" w:bidi="ar-SA"/>
              </w:rPr>
              <w:t>和投标函投标报价大写金额一致。</w:t>
            </w:r>
          </w:p>
        </w:tc>
      </w:tr>
      <w:tr w14:paraId="0ABD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3E7D05B">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2.1.2</w:t>
            </w:r>
          </w:p>
        </w:tc>
        <w:tc>
          <w:tcPr>
            <w:tcW w:w="1230" w:type="dxa"/>
            <w:tcBorders>
              <w:top w:val="single" w:color="auto" w:sz="4" w:space="0"/>
              <w:left w:val="single" w:color="auto" w:sz="4" w:space="0"/>
              <w:bottom w:val="single" w:color="auto" w:sz="4" w:space="0"/>
              <w:right w:val="single" w:color="auto" w:sz="4" w:space="0"/>
            </w:tcBorders>
            <w:vAlign w:val="center"/>
          </w:tcPr>
          <w:p w14:paraId="19A3E5DD">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7011" w:type="dxa"/>
            <w:tcBorders>
              <w:top w:val="single" w:color="auto" w:sz="4" w:space="0"/>
              <w:left w:val="single" w:color="auto" w:sz="4" w:space="0"/>
              <w:bottom w:val="single" w:color="auto" w:sz="4" w:space="0"/>
              <w:right w:val="single" w:color="auto" w:sz="4" w:space="0"/>
            </w:tcBorders>
            <w:vAlign w:val="center"/>
          </w:tcPr>
          <w:p w14:paraId="4EDC24EA">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（1）投标人具备有效的营业执照</w:t>
            </w:r>
            <w:r>
              <w:rPr>
                <w:rFonts w:hint="eastAsia" w:ascii="宋体" w:hAnsi="宋体" w:cs="宋体"/>
                <w:color w:val="auto"/>
                <w:szCs w:val="21"/>
                <w:highlight w:val="none"/>
                <w:lang w:eastAsia="zh-CN"/>
              </w:rPr>
              <w:t>、</w:t>
            </w:r>
            <w:r>
              <w:rPr>
                <w:rFonts w:hint="eastAsia" w:ascii="宋体" w:hAnsi="宋体" w:cs="宋体"/>
                <w:color w:val="auto"/>
                <w:szCs w:val="21"/>
                <w:highlight w:val="none"/>
              </w:rPr>
              <w:t>监理资质证书和基本账户开户许可证（或基本存款账户信息）。</w:t>
            </w:r>
          </w:p>
          <w:p w14:paraId="47584A2A">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（2）投标人的资质等级符合招标文件规定。</w:t>
            </w:r>
          </w:p>
          <w:p w14:paraId="5EA0E4F9">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（3）投标人的类似项目业绩符合招标文件的规定。</w:t>
            </w:r>
          </w:p>
          <w:p w14:paraId="1CEC944C">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（4）投标人的信誉符合招标文件规定。</w:t>
            </w:r>
          </w:p>
          <w:p w14:paraId="310C97A2">
            <w:pPr>
              <w:keepNext w:val="0"/>
              <w:keepLines w:val="0"/>
              <w:suppressLineNumbers w:val="0"/>
              <w:snapToGrid w:val="0"/>
              <w:spacing w:before="0" w:beforeAutospacing="0" w:after="0" w:afterAutospacing="0" w:line="320" w:lineRule="exact"/>
              <w:ind w:left="0"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（5）投标人的总监理工程师资格符合招标文件规定。</w:t>
            </w:r>
          </w:p>
          <w:p w14:paraId="4923E924">
            <w:pPr>
              <w:pStyle w:val="2"/>
              <w:keepNext w:val="0"/>
              <w:keepLines w:val="0"/>
              <w:suppressLineNumbers w:val="0"/>
              <w:snapToGrid w:val="0"/>
              <w:spacing w:before="0" w:beforeAutospacing="0" w:after="0" w:afterAutospacing="0" w:line="3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（6）投标人不存在第二章“投标人须知”第1.4.3项或1.4.4项规定的任何一种情形。</w:t>
            </w:r>
          </w:p>
          <w:p w14:paraId="50723C93">
            <w:pPr>
              <w:pStyle w:val="11"/>
              <w:keepNext w:val="0"/>
              <w:keepLines w:val="0"/>
              <w:suppressLineNumbers w:val="0"/>
              <w:spacing w:before="67" w:beforeAutospacing="0" w:after="0" w:afterAutospacing="0" w:line="257" w:lineRule="auto"/>
              <w:ind w:left="0" w:right="10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（7）投标人符合第二章“投标人须知”第1.4.5项规定</w:t>
            </w:r>
            <w:r>
              <w:rPr>
                <w:rFonts w:hint="eastAsia" w:cs="宋体"/>
                <w:color w:val="auto"/>
                <w:szCs w:val="21"/>
                <w:highlight w:val="none"/>
                <w:lang w:eastAsia="zh-CN"/>
              </w:rPr>
              <w:t>。</w:t>
            </w:r>
          </w:p>
        </w:tc>
      </w:tr>
      <w:tr w14:paraId="115D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674F6A0">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2.2.1</w:t>
            </w:r>
          </w:p>
        </w:tc>
        <w:tc>
          <w:tcPr>
            <w:tcW w:w="1230" w:type="dxa"/>
            <w:tcBorders>
              <w:top w:val="single" w:color="auto" w:sz="4" w:space="0"/>
              <w:left w:val="single" w:color="auto" w:sz="4" w:space="0"/>
              <w:bottom w:val="single" w:color="auto" w:sz="4" w:space="0"/>
              <w:right w:val="single" w:color="auto" w:sz="4" w:space="0"/>
            </w:tcBorders>
            <w:vAlign w:val="center"/>
          </w:tcPr>
          <w:p w14:paraId="41CE1E65">
            <w:pPr>
              <w:keepNext w:val="0"/>
              <w:keepLines w:val="0"/>
              <w:suppressLineNumbers w:val="0"/>
              <w:snapToGrid w:val="0"/>
              <w:spacing w:before="0" w:beforeAutospacing="0" w:after="0" w:afterAutospacing="0" w:line="32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分值构成</w:t>
            </w:r>
          </w:p>
        </w:tc>
        <w:tc>
          <w:tcPr>
            <w:tcW w:w="7011" w:type="dxa"/>
            <w:tcBorders>
              <w:top w:val="single" w:color="auto" w:sz="4" w:space="0"/>
              <w:left w:val="single" w:color="auto" w:sz="4" w:space="0"/>
              <w:bottom w:val="single" w:color="auto" w:sz="4" w:space="0"/>
              <w:right w:val="single" w:color="auto" w:sz="4" w:space="0"/>
            </w:tcBorders>
            <w:vAlign w:val="center"/>
          </w:tcPr>
          <w:p w14:paraId="74F42E76">
            <w:pPr>
              <w:keepNext w:val="0"/>
              <w:keepLines w:val="0"/>
              <w:suppressLineNumbers w:val="0"/>
              <w:snapToGrid w:val="0"/>
              <w:spacing w:before="0" w:beforeAutospacing="0" w:after="0" w:afterAutospacing="0" w:line="320" w:lineRule="exact"/>
              <w:ind w:left="107" w:right="0"/>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第一信封（商务及技术文件）评分分值构成：</w:t>
            </w:r>
          </w:p>
          <w:p w14:paraId="25077801">
            <w:pPr>
              <w:keepNext w:val="0"/>
              <w:keepLines w:val="0"/>
              <w:suppressLineNumbers w:val="0"/>
              <w:snapToGrid w:val="0"/>
              <w:spacing w:before="0" w:beforeAutospacing="0" w:after="0" w:afterAutospacing="0" w:line="320" w:lineRule="exact"/>
              <w:ind w:left="107"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技术建议书：35分</w:t>
            </w:r>
            <w:r>
              <w:rPr>
                <w:rFonts w:hint="eastAsia" w:hAnsi="宋体"/>
                <w:color w:val="auto"/>
                <w:highlight w:val="none"/>
                <w:lang w:eastAsia="zh-CN"/>
              </w:rPr>
              <w:t>（</w:t>
            </w:r>
            <w:r>
              <w:rPr>
                <w:rFonts w:hint="eastAsia" w:hAnsi="宋体"/>
                <w:color w:val="auto"/>
                <w:highlight w:val="none"/>
                <w:lang w:val="en-US" w:eastAsia="zh-CN"/>
              </w:rPr>
              <w:t>暗标</w:t>
            </w:r>
            <w:r>
              <w:rPr>
                <w:rFonts w:hint="eastAsia" w:hAnsi="宋体"/>
                <w:color w:val="auto"/>
                <w:highlight w:val="none"/>
                <w:lang w:eastAsia="zh-CN"/>
              </w:rPr>
              <w:t>）</w:t>
            </w:r>
          </w:p>
          <w:p w14:paraId="44C1E9CF">
            <w:pPr>
              <w:keepNext w:val="0"/>
              <w:keepLines w:val="0"/>
              <w:suppressLineNumbers w:val="0"/>
              <w:snapToGrid w:val="0"/>
              <w:spacing w:before="0" w:beforeAutospacing="0" w:after="0" w:afterAutospacing="0" w:line="320" w:lineRule="exact"/>
              <w:ind w:left="107"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主要人员：30分</w:t>
            </w:r>
          </w:p>
          <w:p w14:paraId="19C790D2">
            <w:pPr>
              <w:keepNext w:val="0"/>
              <w:keepLines w:val="0"/>
              <w:suppressLineNumbers w:val="0"/>
              <w:snapToGrid w:val="0"/>
              <w:spacing w:before="0" w:beforeAutospacing="0" w:after="0" w:afterAutospacing="0" w:line="320" w:lineRule="exact"/>
              <w:ind w:left="107" w:right="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其他因素：25分</w:t>
            </w:r>
          </w:p>
          <w:p w14:paraId="64AD4A06">
            <w:pPr>
              <w:keepNext w:val="0"/>
              <w:keepLines w:val="0"/>
              <w:suppressLineNumbers w:val="0"/>
              <w:snapToGrid w:val="0"/>
              <w:spacing w:before="0" w:beforeAutospacing="0" w:after="0" w:afterAutospacing="0" w:line="320" w:lineRule="exact"/>
              <w:ind w:left="107" w:right="0"/>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第二信封（报价文件）评分分值构成：</w:t>
            </w:r>
          </w:p>
          <w:p w14:paraId="76E542A6">
            <w:pPr>
              <w:keepNext w:val="0"/>
              <w:keepLines w:val="0"/>
              <w:suppressLineNumbers w:val="0"/>
              <w:snapToGrid w:val="0"/>
              <w:spacing w:before="0" w:beforeAutospacing="0" w:after="0" w:afterAutospacing="0" w:line="320" w:lineRule="exact"/>
              <w:ind w:left="107" w:right="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评标价：10分</w:t>
            </w:r>
          </w:p>
        </w:tc>
      </w:tr>
      <w:tr w14:paraId="6137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0CA3DF0">
            <w:pPr>
              <w:keepNext w:val="0"/>
              <w:keepLines w:val="0"/>
              <w:suppressLineNumbers w:val="0"/>
              <w:snapToGrid w:val="0"/>
              <w:spacing w:before="0" w:beforeAutospacing="0" w:after="0" w:afterAutospacing="0" w:line="320" w:lineRule="exact"/>
              <w:ind w:left="0"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2.2.2</w:t>
            </w:r>
          </w:p>
        </w:tc>
        <w:tc>
          <w:tcPr>
            <w:tcW w:w="1230" w:type="dxa"/>
            <w:tcBorders>
              <w:top w:val="single" w:color="auto" w:sz="4" w:space="0"/>
              <w:left w:val="single" w:color="auto" w:sz="4" w:space="0"/>
              <w:bottom w:val="single" w:color="auto" w:sz="4" w:space="0"/>
              <w:right w:val="single" w:color="auto" w:sz="4" w:space="0"/>
            </w:tcBorders>
            <w:vAlign w:val="center"/>
          </w:tcPr>
          <w:p w14:paraId="23C3A538">
            <w:pPr>
              <w:keepNext w:val="0"/>
              <w:keepLines w:val="0"/>
              <w:suppressLineNumbers w:val="0"/>
              <w:snapToGrid w:val="0"/>
              <w:spacing w:before="0" w:beforeAutospacing="0" w:after="0" w:afterAutospacing="0" w:line="320" w:lineRule="exact"/>
              <w:ind w:left="2"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7011" w:type="dxa"/>
            <w:tcBorders>
              <w:top w:val="single" w:color="auto" w:sz="4" w:space="0"/>
              <w:left w:val="single" w:color="auto" w:sz="4" w:space="0"/>
              <w:bottom w:val="single" w:color="auto" w:sz="4" w:space="0"/>
              <w:right w:val="single" w:color="auto" w:sz="4" w:space="0"/>
            </w:tcBorders>
            <w:vAlign w:val="center"/>
          </w:tcPr>
          <w:p w14:paraId="48F30C11">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（1）评标价的确定：</w:t>
            </w:r>
          </w:p>
          <w:p w14:paraId="0557CC26">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评标价=投标函文字报价</w:t>
            </w:r>
          </w:p>
          <w:p w14:paraId="40364665">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（2）评标价平均值的计算：</w:t>
            </w:r>
          </w:p>
          <w:p w14:paraId="03AF6BDC">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除按第二章“投标人须知 ”第 5.2.</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 5 家时，则计算评标价平均值时不去掉最高值和最低值）。</w:t>
            </w:r>
          </w:p>
          <w:p w14:paraId="33BBCF07">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（3）评标基准价的确定：</w:t>
            </w:r>
          </w:p>
          <w:p w14:paraId="207AE6E0">
            <w:pPr>
              <w:keepNext w:val="0"/>
              <w:keepLines w:val="0"/>
              <w:suppressLineNumbers w:val="0"/>
              <w:snapToGrid w:val="0"/>
              <w:spacing w:before="0" w:beforeAutospacing="0" w:after="0" w:afterAutospacing="0" w:line="288" w:lineRule="auto"/>
              <w:ind w:left="0" w:right="0"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将评标价平均值直接作为评标基准价，保留两位小数。</w:t>
            </w:r>
          </w:p>
          <w:p w14:paraId="28F9AA74">
            <w:pPr>
              <w:keepNext w:val="0"/>
              <w:keepLines w:val="0"/>
              <w:suppressLineNumbers w:val="0"/>
              <w:snapToGrid w:val="0"/>
              <w:spacing w:before="0" w:beforeAutospacing="0" w:after="0" w:afterAutospacing="0" w:line="288" w:lineRule="auto"/>
              <w:ind w:left="0" w:right="0" w:firstLine="420" w:firstLineChars="200"/>
              <w:rPr>
                <w:rFonts w:hint="eastAsia" w:ascii="宋体" w:hAnsi="宋体" w:cs="宋体"/>
                <w:color w:val="auto"/>
                <w:szCs w:val="21"/>
                <w:highlight w:val="none"/>
              </w:rPr>
            </w:pPr>
            <w:r>
              <w:rPr>
                <w:rFonts w:hint="eastAsia" w:ascii="宋体" w:hAnsi="宋体" w:eastAsia="宋体"/>
                <w:color w:val="auto"/>
                <w:szCs w:val="21"/>
                <w:highlight w:val="none"/>
              </w:rPr>
              <w:t>在评标过程中，评标委员会应对招标人计算的评标基准价进行复核， 存在计算错误的应予以修正并在评标报告中作出说明。除此之外，评标基准价在整个评标期间保持不变，不随任何因素发生变化。</w:t>
            </w:r>
          </w:p>
        </w:tc>
      </w:tr>
      <w:tr w14:paraId="7994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9B7E126">
            <w:pPr>
              <w:keepNext w:val="0"/>
              <w:keepLines w:val="0"/>
              <w:suppressLineNumbers w:val="0"/>
              <w:snapToGrid w:val="0"/>
              <w:spacing w:before="0" w:beforeAutospacing="0" w:after="0" w:afterAutospacing="0" w:line="320" w:lineRule="exact"/>
              <w:ind w:left="0"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2.2.3</w:t>
            </w:r>
          </w:p>
        </w:tc>
        <w:tc>
          <w:tcPr>
            <w:tcW w:w="1230" w:type="dxa"/>
            <w:tcBorders>
              <w:top w:val="single" w:color="auto" w:sz="4" w:space="0"/>
              <w:left w:val="single" w:color="auto" w:sz="4" w:space="0"/>
              <w:bottom w:val="single" w:color="auto" w:sz="4" w:space="0"/>
              <w:right w:val="single" w:color="auto" w:sz="4" w:space="0"/>
            </w:tcBorders>
            <w:vAlign w:val="center"/>
          </w:tcPr>
          <w:p w14:paraId="7CBE62F2">
            <w:pPr>
              <w:keepNext w:val="0"/>
              <w:keepLines w:val="0"/>
              <w:suppressLineNumbers w:val="0"/>
              <w:snapToGrid w:val="0"/>
              <w:spacing w:before="0" w:beforeAutospacing="0" w:after="0" w:afterAutospacing="0" w:line="320" w:lineRule="exact"/>
              <w:ind w:left="-31" w:leftChars="-15"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7011" w:type="dxa"/>
            <w:tcBorders>
              <w:top w:val="single" w:color="auto" w:sz="4" w:space="0"/>
              <w:left w:val="single" w:color="auto" w:sz="4" w:space="0"/>
              <w:bottom w:val="single" w:color="auto" w:sz="4" w:space="0"/>
              <w:right w:val="single" w:color="auto" w:sz="4" w:space="0"/>
            </w:tcBorders>
            <w:vAlign w:val="center"/>
          </w:tcPr>
          <w:p w14:paraId="625BABA7">
            <w:pPr>
              <w:keepNext w:val="0"/>
              <w:keepLines w:val="0"/>
              <w:suppressLineNumbers w:val="0"/>
              <w:snapToGrid w:val="0"/>
              <w:spacing w:before="0" w:beforeAutospacing="0" w:after="0" w:afterAutospacing="0" w:line="320" w:lineRule="exact"/>
              <w:ind w:left="0" w:right="113" w:firstLine="426" w:firstLineChars="203"/>
              <w:textAlignment w:val="baseline"/>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1319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DB587D3">
            <w:pPr>
              <w:keepNext w:val="0"/>
              <w:keepLines w:val="0"/>
              <w:suppressLineNumbers w:val="0"/>
              <w:snapToGrid w:val="0"/>
              <w:spacing w:before="0" w:beforeAutospacing="0" w:after="0" w:afterAutospacing="0" w:line="320" w:lineRule="exact"/>
              <w:ind w:left="0" w:right="113"/>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3.5.3</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5AD38E30">
            <w:pPr>
              <w:keepNext w:val="0"/>
              <w:keepLines w:val="0"/>
              <w:suppressLineNumbers w:val="0"/>
              <w:snapToGrid w:val="0"/>
              <w:spacing w:before="0" w:beforeAutospacing="0" w:after="0" w:afterAutospacing="0" w:line="288" w:lineRule="auto"/>
              <w:ind w:left="0" w:right="0"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本款修改为：</w:t>
            </w:r>
          </w:p>
          <w:p w14:paraId="3BC4D693">
            <w:pPr>
              <w:keepNext w:val="0"/>
              <w:keepLines w:val="0"/>
              <w:suppressLineNumbers w:val="0"/>
              <w:snapToGrid w:val="0"/>
              <w:spacing w:before="0" w:beforeAutospacing="0" w:after="0" w:afterAutospacing="0" w:line="288" w:lineRule="auto"/>
              <w:ind w:left="0" w:right="0" w:firstLine="404" w:firstLineChars="200"/>
              <w:rPr>
                <w:rFonts w:hint="eastAsia" w:ascii="宋体" w:hAnsi="宋体" w:cs="宋体"/>
                <w:b/>
                <w:bCs/>
                <w:color w:val="auto"/>
                <w:szCs w:val="21"/>
                <w:highlight w:val="none"/>
              </w:rPr>
            </w:pPr>
            <w:r>
              <w:rPr>
                <w:rFonts w:hint="eastAsia" w:ascii="宋体" w:hAnsi="宋体" w:eastAsia="宋体" w:cs="Times New Roman"/>
                <w:spacing w:val="-4"/>
                <w:sz w:val="21"/>
                <w:szCs w:val="21"/>
                <w:highlight w:val="none"/>
              </w:rPr>
              <w:t>评标委员会发现投标人的投标报价低于最高投标限价的</w:t>
            </w:r>
            <w:r>
              <w:rPr>
                <w:rFonts w:hint="eastAsia" w:ascii="宋体" w:hAnsi="宋体" w:eastAsia="宋体" w:cs="Times New Roman"/>
                <w:spacing w:val="-4"/>
                <w:sz w:val="21"/>
                <w:szCs w:val="21"/>
                <w:highlight w:val="none"/>
                <w:lang w:val="en-US" w:eastAsia="zh-CN"/>
              </w:rPr>
              <w:t>6</w:t>
            </w:r>
            <w:r>
              <w:rPr>
                <w:rFonts w:hint="eastAsia" w:ascii="宋体" w:hAnsi="宋体" w:cs="Times New Roman"/>
                <w:spacing w:val="-4"/>
                <w:sz w:val="21"/>
                <w:szCs w:val="21"/>
                <w:highlight w:val="none"/>
                <w:lang w:val="en-US" w:eastAsia="zh-CN"/>
              </w:rPr>
              <w:t>5</w:t>
            </w:r>
            <w:r>
              <w:rPr>
                <w:rFonts w:hint="eastAsia" w:ascii="宋体" w:hAnsi="宋体" w:eastAsia="宋体" w:cs="Times New Roman"/>
                <w:spacing w:val="-4"/>
                <w:sz w:val="21"/>
                <w:szCs w:val="21"/>
                <w:highlight w:val="none"/>
                <w:lang w:val="en-US" w:eastAsia="zh-CN"/>
              </w:rPr>
              <w:t xml:space="preserve"> </w:t>
            </w:r>
            <w:r>
              <w:rPr>
                <w:rFonts w:hint="eastAsia" w:ascii="宋体" w:hAnsi="宋体" w:eastAsia="宋体" w:cs="Times New Roman"/>
                <w:spacing w:val="-4"/>
                <w:sz w:val="21"/>
                <w:szCs w:val="21"/>
                <w:highlight w:val="none"/>
              </w:rPr>
              <w:t>%</w:t>
            </w:r>
            <w:r>
              <w:rPr>
                <w:rFonts w:hint="eastAsia" w:ascii="宋体" w:hAnsi="宋体" w:cs="Times New Roman"/>
                <w:spacing w:val="-4"/>
                <w:sz w:val="21"/>
                <w:szCs w:val="21"/>
                <w:highlight w:val="none"/>
                <w:lang w:eastAsia="zh-CN"/>
              </w:rPr>
              <w:t>（</w:t>
            </w:r>
            <w:r>
              <w:rPr>
                <w:rFonts w:hint="eastAsia" w:ascii="宋体" w:hAnsi="宋体" w:cs="Times New Roman"/>
                <w:spacing w:val="-4"/>
                <w:sz w:val="21"/>
                <w:szCs w:val="21"/>
                <w:highlight w:val="none"/>
                <w:lang w:val="en-US" w:eastAsia="zh-CN"/>
              </w:rPr>
              <w:t>含</w:t>
            </w:r>
            <w:r>
              <w:rPr>
                <w:rFonts w:hint="eastAsia" w:ascii="宋体" w:hAnsi="宋体" w:cs="Times New Roman"/>
                <w:spacing w:val="-4"/>
                <w:sz w:val="21"/>
                <w:szCs w:val="21"/>
                <w:highlight w:val="none"/>
                <w:lang w:eastAsia="zh-CN"/>
              </w:rPr>
              <w:t>）</w:t>
            </w:r>
            <w:r>
              <w:rPr>
                <w:rFonts w:hint="eastAsia" w:ascii="宋体" w:hAnsi="宋体" w:eastAsia="宋体" w:cs="Times New Roman"/>
                <w:spacing w:val="-4"/>
                <w:sz w:val="21"/>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845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ED04D27">
            <w:pPr>
              <w:keepNext w:val="0"/>
              <w:keepLines w:val="0"/>
              <w:suppressLineNumbers w:val="0"/>
              <w:snapToGrid w:val="0"/>
              <w:spacing w:before="0" w:beforeAutospacing="0" w:after="0" w:afterAutospacing="0" w:line="320" w:lineRule="exact"/>
              <w:ind w:left="0"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3.6.1</w:t>
            </w:r>
          </w:p>
        </w:tc>
        <w:tc>
          <w:tcPr>
            <w:tcW w:w="1230" w:type="dxa"/>
            <w:tcBorders>
              <w:top w:val="single" w:color="auto" w:sz="4" w:space="0"/>
              <w:left w:val="single" w:color="auto" w:sz="4" w:space="0"/>
              <w:bottom w:val="single" w:color="auto" w:sz="4" w:space="0"/>
              <w:right w:val="single" w:color="auto" w:sz="4" w:space="0"/>
            </w:tcBorders>
            <w:vAlign w:val="center"/>
          </w:tcPr>
          <w:p w14:paraId="2B787C09">
            <w:pPr>
              <w:keepNext w:val="0"/>
              <w:keepLines w:val="0"/>
              <w:suppressLineNumbers w:val="0"/>
              <w:snapToGrid w:val="0"/>
              <w:spacing w:before="0" w:beforeAutospacing="0" w:after="0" w:afterAutospacing="0" w:line="320" w:lineRule="exact"/>
              <w:ind w:left="-31" w:leftChars="-15" w:right="0"/>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7011" w:type="dxa"/>
            <w:tcBorders>
              <w:top w:val="single" w:color="auto" w:sz="4" w:space="0"/>
              <w:left w:val="single" w:color="auto" w:sz="4" w:space="0"/>
              <w:bottom w:val="single" w:color="auto" w:sz="4" w:space="0"/>
              <w:right w:val="single" w:color="auto" w:sz="4" w:space="0"/>
            </w:tcBorders>
            <w:vAlign w:val="center"/>
          </w:tcPr>
          <w:p w14:paraId="389A0A14">
            <w:pPr>
              <w:keepNext w:val="0"/>
              <w:keepLines w:val="0"/>
              <w:suppressLineNumbers w:val="0"/>
              <w:spacing w:before="0" w:beforeAutospacing="0" w:after="0" w:afterAutospacing="0" w:line="276" w:lineRule="auto"/>
              <w:ind w:left="0" w:right="0"/>
              <w:jc w:val="both"/>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本款修改为：</w:t>
            </w:r>
          </w:p>
          <w:p w14:paraId="7A528180">
            <w:pPr>
              <w:keepNext w:val="0"/>
              <w:keepLines w:val="0"/>
              <w:suppressLineNumbers w:val="0"/>
              <w:spacing w:before="0" w:beforeAutospacing="0" w:after="0" w:afterAutospacing="0" w:line="276" w:lineRule="auto"/>
              <w:ind w:left="0" w:right="0"/>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在评标过程中，评标委员会应对投标人以下信息进行查询：</w:t>
            </w:r>
          </w:p>
          <w:p w14:paraId="60CD7CF2">
            <w:pPr>
              <w:keepNext w:val="0"/>
              <w:keepLines w:val="0"/>
              <w:numPr>
                <w:ilvl w:val="0"/>
                <w:numId w:val="0"/>
              </w:numPr>
              <w:suppressLineNumbers w:val="0"/>
              <w:spacing w:before="0" w:beforeAutospacing="0" w:after="0" w:afterAutospacing="0" w:line="276" w:lineRule="auto"/>
              <w:ind w:left="0" w:right="0"/>
              <w:rPr>
                <w:rFonts w:hint="eastAsia" w:ascii="宋体" w:hAnsi="宋体"/>
                <w:sz w:val="21"/>
                <w:szCs w:val="21"/>
                <w:highlight w:val="none"/>
              </w:rPr>
            </w:pPr>
            <w:r>
              <w:rPr>
                <w:rFonts w:hint="eastAsia" w:ascii="宋体" w:hAnsi="宋体" w:eastAsia="宋体" w:cs="Times New Roman"/>
                <w:kern w:val="28"/>
                <w:sz w:val="21"/>
                <w:szCs w:val="21"/>
                <w:highlight w:val="none"/>
                <w:lang w:val="en-US" w:eastAsia="zh-CN" w:bidi="ar-SA"/>
              </w:rPr>
              <w:t>（1）</w:t>
            </w:r>
            <w:r>
              <w:rPr>
                <w:rFonts w:hint="eastAsia" w:ascii="宋体" w:hAnsi="宋体"/>
                <w:sz w:val="21"/>
                <w:szCs w:val="21"/>
                <w:highlight w:val="none"/>
              </w:rPr>
              <w:t>投标人名称和资质与“全国公路建设市场监督管理系统(https://hwdms.mot.gov.cn/BMWebSite/)”的复核结果一致；</w:t>
            </w:r>
          </w:p>
          <w:p w14:paraId="563D8E35">
            <w:pPr>
              <w:keepNext w:val="0"/>
              <w:keepLines w:val="0"/>
              <w:numPr>
                <w:ilvl w:val="0"/>
                <w:numId w:val="0"/>
              </w:numPr>
              <w:suppressLineNumbers w:val="0"/>
              <w:spacing w:before="0" w:beforeAutospacing="0" w:after="0" w:afterAutospacing="0" w:line="276" w:lineRule="auto"/>
              <w:ind w:left="0" w:right="0"/>
              <w:rPr>
                <w:rFonts w:hint="eastAsia" w:ascii="宋体" w:hAnsi="宋体"/>
                <w:sz w:val="21"/>
                <w:szCs w:val="21"/>
                <w:highlight w:val="none"/>
              </w:rPr>
            </w:pPr>
            <w:r>
              <w:rPr>
                <w:rFonts w:hint="eastAsia" w:ascii="宋体" w:hAnsi="宋体" w:eastAsia="宋体" w:cs="Times New Roman"/>
                <w:kern w:val="28"/>
                <w:sz w:val="21"/>
                <w:szCs w:val="21"/>
                <w:highlight w:val="none"/>
                <w:lang w:val="en-US" w:eastAsia="zh-CN" w:bidi="ar-SA"/>
              </w:rPr>
              <w:t>（2）</w:t>
            </w:r>
            <w:r>
              <w:rPr>
                <w:rFonts w:hint="eastAsia" w:ascii="宋体" w:hAnsi="宋体"/>
                <w:sz w:val="21"/>
                <w:szCs w:val="21"/>
                <w:highlight w:val="none"/>
              </w:rPr>
              <w:t>投标人的业绩所附相关项目</w:t>
            </w:r>
            <w:r>
              <w:rPr>
                <w:rFonts w:hint="eastAsia" w:ascii="宋体" w:hAnsi="宋体"/>
                <w:sz w:val="21"/>
                <w:szCs w:val="21"/>
                <w:highlight w:val="none"/>
                <w:lang w:val="en-US" w:eastAsia="zh-CN"/>
              </w:rPr>
              <w:t>详</w:t>
            </w:r>
            <w:r>
              <w:rPr>
                <w:rFonts w:hint="eastAsia" w:ascii="宋体" w:hAnsi="宋体"/>
                <w:sz w:val="21"/>
                <w:szCs w:val="21"/>
                <w:highlight w:val="none"/>
              </w:rPr>
              <w:t>细信息网页截图复印件与“全国公路建设市场监督管理系统(https://hwdms.mot.gov.cn/BMWebSite/)”的复核结果一致；</w:t>
            </w:r>
          </w:p>
          <w:p w14:paraId="3FB28BE4">
            <w:pPr>
              <w:keepNext w:val="0"/>
              <w:keepLines w:val="0"/>
              <w:numPr>
                <w:ilvl w:val="0"/>
                <w:numId w:val="0"/>
              </w:numPr>
              <w:suppressLineNumbers w:val="0"/>
              <w:spacing w:before="0" w:beforeAutospacing="0" w:after="0" w:afterAutospacing="0" w:line="276" w:lineRule="auto"/>
              <w:ind w:left="0" w:leftChars="0" w:right="0" w:firstLine="0" w:firstLineChars="0"/>
              <w:rPr>
                <w:rFonts w:hint="eastAsia" w:ascii="宋体" w:hAnsi="宋体"/>
                <w:sz w:val="21"/>
                <w:szCs w:val="21"/>
                <w:highlight w:val="none"/>
              </w:rPr>
            </w:pPr>
            <w:r>
              <w:rPr>
                <w:rFonts w:hint="eastAsia" w:ascii="宋体" w:hAnsi="宋体" w:eastAsia="宋体" w:cs="Times New Roman"/>
                <w:kern w:val="28"/>
                <w:sz w:val="21"/>
                <w:szCs w:val="21"/>
                <w:highlight w:val="none"/>
                <w:lang w:val="en-US" w:eastAsia="zh-CN" w:bidi="ar-SA"/>
              </w:rPr>
              <w:t>（3）</w:t>
            </w:r>
            <w:r>
              <w:rPr>
                <w:rFonts w:hint="eastAsia" w:ascii="宋体" w:hAnsi="宋体"/>
                <w:sz w:val="21"/>
                <w:szCs w:val="21"/>
                <w:highlight w:val="none"/>
              </w:rPr>
              <w:t>所附</w:t>
            </w:r>
            <w:r>
              <w:rPr>
                <w:rFonts w:hint="eastAsia" w:ascii="宋体" w:hAnsi="宋体"/>
                <w:sz w:val="21"/>
                <w:szCs w:val="21"/>
                <w:highlight w:val="none"/>
                <w:lang w:val="en-US" w:eastAsia="zh-CN"/>
              </w:rPr>
              <w:t>总监理工程师岗位登记信息（执业资格、履历信息等）和</w:t>
            </w:r>
            <w:r>
              <w:rPr>
                <w:rFonts w:hint="eastAsia" w:ascii="宋体" w:hAnsi="宋体"/>
                <w:sz w:val="21"/>
                <w:szCs w:val="21"/>
                <w:highlight w:val="none"/>
              </w:rPr>
              <w:t>业绩的网页截图复印件与“全国公路建设市场监督管理系统(https://hwdms.mot.gov.cn/BMWebSite/)”的核查结果一致；</w:t>
            </w:r>
          </w:p>
          <w:p w14:paraId="3FE4CAC4">
            <w:pPr>
              <w:keepNext w:val="0"/>
              <w:keepLines w:val="0"/>
              <w:suppressLineNumbers w:val="0"/>
              <w:spacing w:before="0" w:beforeAutospacing="0" w:after="0" w:afterAutospacing="0" w:line="276" w:lineRule="auto"/>
              <w:ind w:left="0" w:right="0" w:firstLine="420" w:firstLineChars="200"/>
              <w:rPr>
                <w:rFonts w:hint="eastAsia" w:ascii="宋体" w:hAnsi="宋体"/>
                <w:sz w:val="21"/>
                <w:szCs w:val="21"/>
                <w:highlight w:val="none"/>
              </w:rPr>
            </w:pPr>
            <w:r>
              <w:rPr>
                <w:rFonts w:hint="eastAsia" w:ascii="宋体" w:hAnsi="宋体"/>
                <w:sz w:val="21"/>
                <w:szCs w:val="21"/>
                <w:highlight w:val="none"/>
              </w:rPr>
              <w:t>如投标人未提供相关网页截图或所附截图与复核结果不一致导致其不满足资格条件，评标委员会应按照其不满足资格条件否决其投标。</w:t>
            </w:r>
          </w:p>
          <w:p w14:paraId="620BE740">
            <w:pPr>
              <w:keepNext w:val="0"/>
              <w:keepLines w:val="0"/>
              <w:numPr>
                <w:ilvl w:val="0"/>
                <w:numId w:val="0"/>
              </w:numPr>
              <w:suppressLineNumbers w:val="0"/>
              <w:spacing w:before="0" w:beforeAutospacing="0" w:after="0" w:afterAutospacing="0" w:line="276" w:lineRule="auto"/>
              <w:ind w:left="0" w:leftChars="0" w:right="0" w:firstLine="0" w:firstLineChars="0"/>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4</w:t>
            </w:r>
            <w:r>
              <w:rPr>
                <w:rFonts w:hint="eastAsia" w:ascii="宋体" w:hAnsi="宋体"/>
                <w:sz w:val="21"/>
                <w:szCs w:val="21"/>
                <w:highlight w:val="none"/>
                <w:lang w:eastAsia="zh-CN"/>
              </w:rPr>
              <w:t>）</w:t>
            </w:r>
            <w:r>
              <w:rPr>
                <w:rFonts w:hint="eastAsia" w:ascii="宋体" w:hAnsi="宋体"/>
                <w:sz w:val="21"/>
                <w:szCs w:val="21"/>
                <w:highlight w:val="none"/>
              </w:rPr>
              <w:t>评标委员会在评标过程中将对投标人的信誉情况进行查询。如投标人存在下列情形之一的，评标委员会应否决其投标</w:t>
            </w:r>
            <w:r>
              <w:rPr>
                <w:rFonts w:hint="eastAsia" w:ascii="宋体" w:hAnsi="宋体"/>
                <w:sz w:val="21"/>
                <w:szCs w:val="21"/>
                <w:highlight w:val="none"/>
                <w:lang w:eastAsia="zh-CN"/>
              </w:rPr>
              <w:t>：</w:t>
            </w:r>
          </w:p>
          <w:p w14:paraId="16BB5B1D">
            <w:pPr>
              <w:keepNext w:val="0"/>
              <w:keepLines w:val="0"/>
              <w:numPr>
                <w:ilvl w:val="0"/>
                <w:numId w:val="0"/>
              </w:numPr>
              <w:suppressLineNumbers w:val="0"/>
              <w:spacing w:before="0" w:beforeAutospacing="0" w:after="0" w:afterAutospacing="0" w:line="276" w:lineRule="auto"/>
              <w:ind w:left="0" w:leftChars="0" w:right="0" w:firstLine="0" w:firstLineChars="0"/>
              <w:rPr>
                <w:rFonts w:hint="eastAsia" w:ascii="宋体" w:hAnsi="宋体" w:eastAsia="宋体"/>
                <w:sz w:val="21"/>
                <w:szCs w:val="21"/>
                <w:highlight w:val="none"/>
                <w:lang w:eastAsia="zh-CN"/>
              </w:rPr>
            </w:pPr>
            <w:r>
              <w:rPr>
                <w:rFonts w:hint="eastAsia" w:ascii="宋体" w:hAnsi="宋体"/>
                <w:sz w:val="21"/>
                <w:szCs w:val="21"/>
                <w:highlight w:val="none"/>
              </w:rPr>
              <w:t>1)在国家企业信用信息公示系统(https://www.gsxt.gov.cn/)中被列入严重违法失信名单(黑名单)(不含分公司)</w:t>
            </w:r>
            <w:r>
              <w:rPr>
                <w:rFonts w:hint="eastAsia" w:ascii="宋体" w:hAnsi="宋体"/>
                <w:sz w:val="21"/>
                <w:szCs w:val="21"/>
                <w:highlight w:val="none"/>
                <w:lang w:eastAsia="zh-CN"/>
              </w:rPr>
              <w:t>；</w:t>
            </w:r>
          </w:p>
          <w:p w14:paraId="371300CF">
            <w:pPr>
              <w:keepNext w:val="0"/>
              <w:keepLines w:val="0"/>
              <w:numPr>
                <w:ilvl w:val="0"/>
                <w:numId w:val="0"/>
              </w:numPr>
              <w:suppressLineNumbers w:val="0"/>
              <w:spacing w:before="0" w:beforeAutospacing="0" w:after="0" w:afterAutospacing="0" w:line="276" w:lineRule="auto"/>
              <w:ind w:left="0" w:leftChars="0" w:right="0" w:firstLine="0" w:firstLineChars="0"/>
              <w:rPr>
                <w:rFonts w:hint="eastAsia" w:ascii="宋体" w:hAnsi="宋体" w:eastAsia="宋体"/>
                <w:sz w:val="21"/>
                <w:szCs w:val="21"/>
                <w:highlight w:val="none"/>
                <w:lang w:eastAsia="zh-CN"/>
              </w:rPr>
            </w:pPr>
            <w:r>
              <w:rPr>
                <w:rFonts w:hint="eastAsia" w:ascii="宋体" w:hAnsi="宋体"/>
                <w:sz w:val="21"/>
                <w:szCs w:val="21"/>
                <w:highlight w:val="none"/>
              </w:rPr>
              <w:t>2在“信用中国”网站（http://www.creditchina.gov.cn/）中被列入</w:t>
            </w:r>
            <w:r>
              <w:rPr>
                <w:rFonts w:hint="default"/>
                <w:color w:val="auto"/>
                <w:highlight w:val="none"/>
                <w:lang w:bidi="ar"/>
              </w:rPr>
              <w:t>列入经营</w:t>
            </w:r>
            <w:r>
              <w:rPr>
                <w:rFonts w:hint="eastAsia"/>
                <w:color w:val="auto"/>
                <w:highlight w:val="none"/>
                <w:lang w:eastAsia="zh-CN" w:bidi="ar"/>
              </w:rPr>
              <w:t>（活动）</w:t>
            </w:r>
            <w:r>
              <w:rPr>
                <w:rFonts w:hint="default"/>
                <w:color w:val="auto"/>
                <w:highlight w:val="none"/>
                <w:lang w:bidi="ar"/>
              </w:rPr>
              <w:t>异常名录、</w:t>
            </w:r>
            <w:r>
              <w:rPr>
                <w:rFonts w:hint="eastAsia" w:asciiTheme="majorEastAsia" w:hAnsiTheme="majorEastAsia" w:eastAsiaTheme="majorEastAsia" w:cstheme="majorEastAsia"/>
                <w:snapToGrid w:val="0"/>
                <w:color w:val="auto"/>
                <w:kern w:val="0"/>
                <w:szCs w:val="21"/>
                <w:highlight w:val="none"/>
              </w:rPr>
              <w:t>重大税收违法失信主体</w:t>
            </w:r>
            <w:r>
              <w:rPr>
                <w:rFonts w:hint="eastAsia" w:asciiTheme="majorEastAsia" w:hAnsiTheme="majorEastAsia" w:eastAsiaTheme="majorEastAsia" w:cstheme="majorEastAsia"/>
                <w:snapToGrid w:val="0"/>
                <w:color w:val="auto"/>
                <w:kern w:val="0"/>
                <w:szCs w:val="21"/>
                <w:highlight w:val="none"/>
                <w:lang w:eastAsia="zh-CN"/>
              </w:rPr>
              <w:t>名单</w:t>
            </w:r>
            <w:r>
              <w:rPr>
                <w:rFonts w:hint="eastAsia"/>
                <w:color w:val="auto"/>
                <w:highlight w:val="none"/>
                <w:lang w:bidi="ar"/>
              </w:rPr>
              <w:t>、</w:t>
            </w:r>
            <w:r>
              <w:rPr>
                <w:rFonts w:hint="default"/>
                <w:color w:val="auto"/>
                <w:highlight w:val="none"/>
                <w:lang w:bidi="ar"/>
              </w:rPr>
              <w:t>政府采购严重违法失信</w:t>
            </w:r>
            <w:r>
              <w:rPr>
                <w:rFonts w:hint="eastAsia"/>
                <w:color w:val="auto"/>
                <w:highlight w:val="none"/>
                <w:lang w:eastAsia="zh-CN" w:bidi="ar"/>
              </w:rPr>
              <w:t>行为记录</w:t>
            </w:r>
            <w:r>
              <w:rPr>
                <w:rFonts w:hint="default"/>
                <w:color w:val="auto"/>
                <w:highlight w:val="none"/>
                <w:lang w:bidi="ar"/>
              </w:rPr>
              <w:t>名单</w:t>
            </w:r>
            <w:r>
              <w:rPr>
                <w:rFonts w:hint="eastAsia"/>
                <w:color w:val="auto"/>
                <w:highlight w:val="none"/>
                <w:lang w:bidi="ar"/>
              </w:rPr>
              <w:t>和安全生产严重失信主体名单</w:t>
            </w:r>
            <w:r>
              <w:rPr>
                <w:rFonts w:hint="default"/>
                <w:color w:val="auto"/>
                <w:highlight w:val="none"/>
                <w:lang w:bidi="ar"/>
              </w:rPr>
              <w:t>（均不含分公司）</w:t>
            </w:r>
            <w:r>
              <w:rPr>
                <w:rFonts w:hint="eastAsia"/>
                <w:color w:val="auto"/>
                <w:highlight w:val="none"/>
                <w:lang w:eastAsia="zh-CN" w:bidi="ar"/>
              </w:rPr>
              <w:t>；</w:t>
            </w:r>
          </w:p>
          <w:p w14:paraId="0EE3FE64">
            <w:pPr>
              <w:keepNext w:val="0"/>
              <w:keepLines w:val="0"/>
              <w:numPr>
                <w:ilvl w:val="0"/>
                <w:numId w:val="0"/>
              </w:numPr>
              <w:suppressLineNumbers w:val="0"/>
              <w:spacing w:before="0" w:beforeAutospacing="0" w:after="0" w:afterAutospacing="0" w:line="276" w:lineRule="auto"/>
              <w:ind w:left="0" w:leftChars="0" w:right="0" w:firstLine="0" w:firstLineChars="0"/>
              <w:rPr>
                <w:rFonts w:hint="eastAsia" w:ascii="宋体" w:hAnsi="宋体"/>
                <w:sz w:val="21"/>
                <w:szCs w:val="21"/>
                <w:highlight w:val="none"/>
              </w:rPr>
            </w:pPr>
            <w:r>
              <w:rPr>
                <w:rFonts w:hint="eastAsia" w:ascii="宋体" w:hAnsi="宋体"/>
                <w:sz w:val="21"/>
                <w:szCs w:val="21"/>
                <w:highlight w:val="none"/>
              </w:rPr>
              <w:t>3)在中国执行信息公开网(zxgk.court.gov.cn)中被列入失信被执行人(不含分公司)。</w:t>
            </w:r>
          </w:p>
          <w:p w14:paraId="0E2080FB">
            <w:pPr>
              <w:keepNext w:val="0"/>
              <w:keepLines w:val="0"/>
              <w:numPr>
                <w:ilvl w:val="0"/>
                <w:numId w:val="0"/>
              </w:numPr>
              <w:suppressLineNumbers w:val="0"/>
              <w:spacing w:before="0" w:beforeAutospacing="0" w:after="0" w:afterAutospacing="0" w:line="276" w:lineRule="auto"/>
              <w:ind w:left="0" w:leftChars="0" w:right="0" w:firstLine="420" w:firstLineChars="200"/>
              <w:rPr>
                <w:rFonts w:hint="eastAsia" w:ascii="宋体" w:hAnsi="宋体"/>
                <w:sz w:val="21"/>
                <w:szCs w:val="21"/>
                <w:highlight w:val="none"/>
              </w:rPr>
            </w:pPr>
            <w:r>
              <w:rPr>
                <w:rFonts w:hint="eastAsia" w:ascii="宋体" w:hAnsi="宋体"/>
                <w:sz w:val="21"/>
                <w:szCs w:val="21"/>
                <w:highlight w:val="none"/>
                <w:lang w:val="en-US" w:eastAsia="zh-CN"/>
              </w:rPr>
              <w:t>注：以上查询结果以开标当日查询结果为准。</w:t>
            </w:r>
          </w:p>
          <w:p w14:paraId="09E03FAF">
            <w:pPr>
              <w:keepNext w:val="0"/>
              <w:keepLines w:val="0"/>
              <w:suppressLineNumbers w:val="0"/>
              <w:snapToGrid w:val="0"/>
              <w:spacing w:before="0" w:beforeAutospacing="0" w:after="0" w:afterAutospacing="0" w:line="320" w:lineRule="exact"/>
              <w:ind w:left="0" w:right="113" w:firstLine="420" w:firstLineChars="200"/>
              <w:textAlignment w:val="baseline"/>
              <w:rPr>
                <w:rFonts w:hint="default"/>
                <w:color w:val="auto"/>
                <w:highlight w:val="none"/>
              </w:rPr>
            </w:pPr>
            <w:r>
              <w:rPr>
                <w:rFonts w:hint="eastAsia" w:ascii="宋体" w:hAnsi="宋体"/>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3CB1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F1BBFD3">
            <w:pPr>
              <w:keepNext w:val="0"/>
              <w:keepLines w:val="0"/>
              <w:suppressLineNumbers w:val="0"/>
              <w:snapToGrid w:val="0"/>
              <w:spacing w:before="0" w:beforeAutospacing="0" w:after="0" w:afterAutospacing="0" w:line="320" w:lineRule="exact"/>
              <w:ind w:left="0" w:right="113"/>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3.6.3</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33C73FC4">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本款增加：</w:t>
            </w:r>
          </w:p>
          <w:p w14:paraId="542F7F96">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3.6.3投标人其他异常投标情形</w:t>
            </w:r>
          </w:p>
          <w:p w14:paraId="124DC403">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评标委员会在评标过程中发现存在投标文件异常一致或投标活动异常关联等异常投标情形的，应当要求投标人作出解释说明。评标委员会经核查确认投标人存在串通投标等违法行为的，应否决其投标。</w:t>
            </w:r>
          </w:p>
          <w:p w14:paraId="78F673E7">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有下列情形之一的，属于投标文件异常一致或投标活动异常关联等异常投标情形：</w:t>
            </w:r>
          </w:p>
          <w:p w14:paraId="795E5631">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（1）投标人投标文件制作机器码雷同；</w:t>
            </w:r>
          </w:p>
          <w:p w14:paraId="415992C1">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（2）投标文件创建标识码雷同；</w:t>
            </w:r>
          </w:p>
          <w:p w14:paraId="19018F42">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（3）投标文件制作计算机MAC地址雷同；</w:t>
            </w:r>
          </w:p>
          <w:p w14:paraId="56A28921">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（4）投标文件制作计算机硬盘序列号雷同；</w:t>
            </w:r>
          </w:p>
          <w:p w14:paraId="16202B1F">
            <w:pPr>
              <w:keepNext w:val="0"/>
              <w:keepLines w:val="0"/>
              <w:suppressLineNumbers w:val="0"/>
              <w:spacing w:before="0" w:beforeAutospacing="0" w:after="0" w:afterAutospacing="0" w:line="276" w:lineRule="auto"/>
              <w:ind w:left="0" w:right="0"/>
              <w:rPr>
                <w:rFonts w:hint="eastAsia" w:ascii="宋体" w:hAnsi="宋体"/>
                <w:sz w:val="21"/>
                <w:szCs w:val="21"/>
                <w:highlight w:val="none"/>
                <w:lang w:val="en-US" w:eastAsia="zh-CN"/>
              </w:rPr>
            </w:pPr>
            <w:r>
              <w:rPr>
                <w:rFonts w:hint="eastAsia" w:ascii="宋体" w:hAnsi="宋体"/>
                <w:sz w:val="21"/>
                <w:szCs w:val="21"/>
                <w:highlight w:val="none"/>
                <w:lang w:val="en-US" w:eastAsia="zh-CN"/>
              </w:rPr>
              <w:t>（5）投标文件上传IP地址雷同；</w:t>
            </w:r>
          </w:p>
          <w:p w14:paraId="0062754E">
            <w:pPr>
              <w:keepNext w:val="0"/>
              <w:keepLines w:val="0"/>
              <w:suppressLineNumbers w:val="0"/>
              <w:snapToGrid w:val="0"/>
              <w:spacing w:before="0" w:beforeAutospacing="0" w:after="0" w:afterAutospacing="0" w:line="288" w:lineRule="auto"/>
              <w:ind w:left="0" w:right="0"/>
              <w:rPr>
                <w:rFonts w:hint="default" w:asciiTheme="minorEastAsia" w:hAnsiTheme="minorEastAsia" w:eastAsiaTheme="minorEastAsia"/>
                <w:color w:val="auto"/>
                <w:szCs w:val="21"/>
                <w:highlight w:val="none"/>
                <w:lang w:val="en-US" w:eastAsia="zh-CN"/>
              </w:rPr>
            </w:pPr>
            <w:r>
              <w:rPr>
                <w:rFonts w:hint="eastAsia" w:ascii="宋体" w:hAnsi="宋体"/>
                <w:sz w:val="21"/>
                <w:szCs w:val="21"/>
                <w:highlight w:val="none"/>
                <w:lang w:val="en-US" w:eastAsia="zh-CN"/>
              </w:rPr>
              <w:t>（6）投标文件解密IP地址雷同。</w:t>
            </w:r>
          </w:p>
        </w:tc>
      </w:tr>
    </w:tbl>
    <w:p w14:paraId="57AA3D75">
      <w:pPr>
        <w:pStyle w:val="2"/>
        <w:rPr>
          <w:color w:val="auto"/>
          <w:highlight w:val="none"/>
        </w:rPr>
      </w:pPr>
    </w:p>
    <w:p w14:paraId="21CEAF04">
      <w:pPr>
        <w:pStyle w:val="2"/>
        <w:rPr>
          <w:color w:val="auto"/>
          <w:highlight w:val="none"/>
        </w:rPr>
      </w:pPr>
      <w:r>
        <w:rPr>
          <w:color w:val="auto"/>
          <w:highlight w:val="none"/>
        </w:rPr>
        <w:br w:type="page"/>
      </w:r>
    </w:p>
    <w:p w14:paraId="1D273B63">
      <w:pPr>
        <w:pStyle w:val="4"/>
        <w:spacing w:line="360" w:lineRule="auto"/>
        <w:rPr>
          <w:rFonts w:hint="eastAsia" w:hAnsi="宋体"/>
          <w:b/>
          <w:color w:val="auto"/>
          <w:highlight w:val="none"/>
        </w:rPr>
      </w:pPr>
      <w:r>
        <w:rPr>
          <w:rFonts w:hint="eastAsia" w:hAnsi="宋体"/>
          <w:color w:val="auto"/>
          <w:sz w:val="24"/>
          <w:highlight w:val="none"/>
        </w:rPr>
        <w:t>具体评分标准如下：</w:t>
      </w:r>
    </w:p>
    <w:tbl>
      <w:tblPr>
        <w:tblStyle w:val="5"/>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36"/>
        <w:gridCol w:w="732"/>
        <w:gridCol w:w="1355"/>
        <w:gridCol w:w="708"/>
        <w:gridCol w:w="1276"/>
        <w:gridCol w:w="4359"/>
      </w:tblGrid>
      <w:tr w14:paraId="73DD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4133" w:type="dxa"/>
            <w:gridSpan w:val="5"/>
            <w:tcBorders>
              <w:top w:val="single" w:color="auto" w:sz="4" w:space="0"/>
              <w:left w:val="single" w:color="auto" w:sz="4" w:space="0"/>
              <w:bottom w:val="single" w:color="auto" w:sz="4" w:space="0"/>
              <w:right w:val="single" w:color="auto" w:sz="4" w:space="0"/>
            </w:tcBorders>
            <w:vAlign w:val="center"/>
          </w:tcPr>
          <w:p w14:paraId="412BF2E1">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szCs w:val="20"/>
                <w:highlight w:val="none"/>
              </w:rPr>
            </w:pPr>
            <w:r>
              <w:rPr>
                <w:rFonts w:hint="eastAsia" w:hAnsi="宋体"/>
                <w:color w:val="auto"/>
                <w:highlight w:val="none"/>
              </w:rPr>
              <w:t>评分因素与权重分值</w:t>
            </w:r>
          </w:p>
        </w:tc>
        <w:tc>
          <w:tcPr>
            <w:tcW w:w="5635" w:type="dxa"/>
            <w:gridSpan w:val="2"/>
            <w:vMerge w:val="restart"/>
            <w:tcBorders>
              <w:top w:val="single" w:color="auto" w:sz="4" w:space="0"/>
              <w:left w:val="single" w:color="auto" w:sz="4" w:space="0"/>
              <w:bottom w:val="single" w:color="auto" w:sz="4" w:space="0"/>
              <w:right w:val="single" w:color="auto" w:sz="4" w:space="0"/>
            </w:tcBorders>
            <w:vAlign w:val="center"/>
          </w:tcPr>
          <w:p w14:paraId="2775FA50">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评分标准</w:t>
            </w:r>
          </w:p>
        </w:tc>
      </w:tr>
      <w:tr w14:paraId="1797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2" w:type="dxa"/>
            <w:tcBorders>
              <w:top w:val="single" w:color="auto" w:sz="4" w:space="0"/>
              <w:left w:val="single" w:color="auto" w:sz="4" w:space="0"/>
              <w:bottom w:val="single" w:color="auto" w:sz="4" w:space="0"/>
              <w:right w:val="single" w:color="auto" w:sz="4" w:space="0"/>
            </w:tcBorders>
            <w:vAlign w:val="center"/>
          </w:tcPr>
          <w:p w14:paraId="6A5D97DB">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条款号</w:t>
            </w:r>
          </w:p>
        </w:tc>
        <w:tc>
          <w:tcPr>
            <w:tcW w:w="636" w:type="dxa"/>
            <w:tcBorders>
              <w:top w:val="single" w:color="auto" w:sz="4" w:space="0"/>
              <w:left w:val="single" w:color="auto" w:sz="4" w:space="0"/>
              <w:bottom w:val="single" w:color="auto" w:sz="4" w:space="0"/>
              <w:right w:val="single" w:color="auto" w:sz="4" w:space="0"/>
            </w:tcBorders>
            <w:vAlign w:val="center"/>
          </w:tcPr>
          <w:p w14:paraId="73679AA0">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评分因素</w:t>
            </w:r>
          </w:p>
        </w:tc>
        <w:tc>
          <w:tcPr>
            <w:tcW w:w="732" w:type="dxa"/>
            <w:tcBorders>
              <w:top w:val="single" w:color="auto" w:sz="4" w:space="0"/>
              <w:left w:val="single" w:color="auto" w:sz="4" w:space="0"/>
              <w:bottom w:val="single" w:color="auto" w:sz="4" w:space="0"/>
              <w:right w:val="single" w:color="auto" w:sz="4" w:space="0"/>
            </w:tcBorders>
            <w:vAlign w:val="center"/>
          </w:tcPr>
          <w:p w14:paraId="4658DF37">
            <w:pPr>
              <w:pStyle w:val="4"/>
              <w:keepNext w:val="0"/>
              <w:keepLines w:val="0"/>
              <w:suppressLineNumbers w:val="0"/>
              <w:spacing w:before="0" w:beforeAutospacing="0" w:after="0" w:afterAutospacing="0" w:line="160" w:lineRule="atLeast"/>
              <w:ind w:left="-40" w:leftChars="-19" w:right="0" w:firstLine="1"/>
              <w:jc w:val="center"/>
              <w:textAlignment w:val="baseline"/>
              <w:rPr>
                <w:rFonts w:hint="eastAsia" w:hAnsi="宋体"/>
                <w:color w:val="auto"/>
                <w:highlight w:val="none"/>
              </w:rPr>
            </w:pPr>
            <w:r>
              <w:rPr>
                <w:rFonts w:hint="eastAsia" w:hAnsi="宋体"/>
                <w:color w:val="auto"/>
                <w:highlight w:val="none"/>
              </w:rPr>
              <w:t>评分因素权重分值</w:t>
            </w:r>
          </w:p>
        </w:tc>
        <w:tc>
          <w:tcPr>
            <w:tcW w:w="1355" w:type="dxa"/>
            <w:tcBorders>
              <w:top w:val="single" w:color="auto" w:sz="4" w:space="0"/>
              <w:left w:val="single" w:color="auto" w:sz="4" w:space="0"/>
              <w:bottom w:val="single" w:color="auto" w:sz="4" w:space="0"/>
              <w:right w:val="single" w:color="auto" w:sz="4" w:space="0"/>
            </w:tcBorders>
            <w:vAlign w:val="center"/>
          </w:tcPr>
          <w:p w14:paraId="3684F037">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Style w:val="12"/>
                <w:rFonts w:hint="default"/>
                <w:color w:val="auto"/>
                <w:highlight w:val="none"/>
              </w:rPr>
              <w:t>各评分因素细分项</w:t>
            </w:r>
          </w:p>
        </w:tc>
        <w:tc>
          <w:tcPr>
            <w:tcW w:w="708" w:type="dxa"/>
            <w:tcBorders>
              <w:top w:val="single" w:color="auto" w:sz="4" w:space="0"/>
              <w:left w:val="single" w:color="auto" w:sz="4" w:space="0"/>
              <w:bottom w:val="single" w:color="auto" w:sz="4" w:space="0"/>
              <w:right w:val="single" w:color="auto" w:sz="4" w:space="0"/>
            </w:tcBorders>
            <w:vAlign w:val="center"/>
          </w:tcPr>
          <w:p w14:paraId="6304AF18">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分值</w:t>
            </w:r>
          </w:p>
        </w:tc>
        <w:tc>
          <w:tcPr>
            <w:tcW w:w="5635" w:type="dxa"/>
            <w:gridSpan w:val="2"/>
            <w:vMerge w:val="continue"/>
            <w:tcBorders>
              <w:top w:val="single" w:color="auto" w:sz="4" w:space="0"/>
              <w:left w:val="single" w:color="auto" w:sz="4" w:space="0"/>
              <w:bottom w:val="single" w:color="auto" w:sz="4" w:space="0"/>
              <w:right w:val="single" w:color="auto" w:sz="4" w:space="0"/>
            </w:tcBorders>
            <w:vAlign w:val="center"/>
          </w:tcPr>
          <w:p w14:paraId="10982FA0">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r>
      <w:tr w14:paraId="2C51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02" w:type="dxa"/>
            <w:vMerge w:val="restart"/>
            <w:tcBorders>
              <w:top w:val="single" w:color="auto" w:sz="4" w:space="0"/>
              <w:left w:val="single" w:color="auto" w:sz="4" w:space="0"/>
              <w:bottom w:val="single" w:color="auto" w:sz="4" w:space="0"/>
              <w:right w:val="single" w:color="auto" w:sz="4" w:space="0"/>
            </w:tcBorders>
            <w:vAlign w:val="center"/>
          </w:tcPr>
          <w:p w14:paraId="153226B2">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2.2.4（1）</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27435B25">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技术建议书</w:t>
            </w:r>
          </w:p>
          <w:p w14:paraId="058FD84D">
            <w:pPr>
              <w:pStyle w:val="4"/>
              <w:keepNext w:val="0"/>
              <w:keepLines w:val="0"/>
              <w:suppressLineNumbers w:val="0"/>
              <w:spacing w:before="0" w:beforeAutospacing="0" w:after="0" w:afterAutospacing="0" w:line="160" w:lineRule="atLeast"/>
              <w:ind w:left="0" w:right="0"/>
              <w:jc w:val="center"/>
              <w:textAlignment w:val="baseline"/>
              <w:rPr>
                <w:rFonts w:hint="eastAsia" w:hAnsi="宋体" w:eastAsiaTheme="minorEastAsia"/>
                <w:color w:val="auto"/>
                <w:highlight w:val="none"/>
                <w:lang w:eastAsia="zh-CN"/>
              </w:rPr>
            </w:pPr>
            <w:r>
              <w:rPr>
                <w:rFonts w:hint="eastAsia" w:hAnsi="宋体"/>
                <w:color w:val="auto"/>
                <w:highlight w:val="none"/>
                <w:lang w:eastAsia="zh-CN"/>
              </w:rPr>
              <w:t>（</w:t>
            </w:r>
            <w:r>
              <w:rPr>
                <w:rFonts w:hint="eastAsia" w:hAnsi="宋体"/>
                <w:color w:val="auto"/>
                <w:highlight w:val="none"/>
                <w:lang w:val="en-US" w:eastAsia="zh-CN"/>
              </w:rPr>
              <w:t>暗标</w:t>
            </w:r>
            <w:r>
              <w:rPr>
                <w:rFonts w:hint="eastAsia" w:hAnsi="宋体"/>
                <w:color w:val="auto"/>
                <w:highlight w:val="none"/>
                <w:lang w:eastAsia="zh-CN"/>
              </w:rPr>
              <w:t>）</w:t>
            </w:r>
          </w:p>
        </w:tc>
        <w:tc>
          <w:tcPr>
            <w:tcW w:w="732" w:type="dxa"/>
            <w:vMerge w:val="restart"/>
            <w:tcBorders>
              <w:top w:val="single" w:color="auto" w:sz="4" w:space="0"/>
              <w:left w:val="single" w:color="auto" w:sz="4" w:space="0"/>
              <w:bottom w:val="single" w:color="auto" w:sz="4" w:space="0"/>
              <w:right w:val="single" w:color="auto" w:sz="4" w:space="0"/>
            </w:tcBorders>
            <w:vAlign w:val="center"/>
          </w:tcPr>
          <w:p w14:paraId="5B527790">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35分</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3D221C0">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监理大纲和措施</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012EE00C">
            <w:pPr>
              <w:pStyle w:val="4"/>
              <w:keepNext w:val="0"/>
              <w:keepLines w:val="0"/>
              <w:suppressLineNumbers w:val="0"/>
              <w:spacing w:before="0" w:beforeAutospacing="0" w:after="0" w:afterAutospacing="0" w:line="160" w:lineRule="atLeast"/>
              <w:ind w:left="33" w:leftChars="-48" w:right="0" w:hanging="134" w:hangingChars="64"/>
              <w:jc w:val="center"/>
              <w:textAlignment w:val="baseline"/>
              <w:rPr>
                <w:rFonts w:hint="eastAsia" w:hAnsi="宋体"/>
                <w:color w:val="auto"/>
                <w:highlight w:val="none"/>
              </w:rPr>
            </w:pPr>
            <w:r>
              <w:rPr>
                <w:rFonts w:hint="default" w:hAnsi="宋体"/>
                <w:color w:val="auto"/>
                <w:highlight w:val="none"/>
              </w:rPr>
              <w:t>25</w:t>
            </w:r>
            <w:r>
              <w:rPr>
                <w:rFonts w:hint="eastAsia" w:hAnsi="宋体"/>
                <w:color w:val="auto"/>
                <w:highlight w:val="none"/>
              </w:rPr>
              <w:t>分</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7A27BDCF">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对本招标项目监理工作范围和任务理解(5分)</w:t>
            </w:r>
          </w:p>
        </w:tc>
        <w:tc>
          <w:tcPr>
            <w:tcW w:w="4359" w:type="dxa"/>
            <w:tcBorders>
              <w:top w:val="single" w:color="auto" w:sz="4" w:space="0"/>
              <w:left w:val="single" w:color="auto" w:sz="4" w:space="0"/>
              <w:bottom w:val="single" w:color="auto" w:sz="4" w:space="0"/>
              <w:right w:val="single" w:color="auto" w:sz="4" w:space="0"/>
            </w:tcBorders>
            <w:vAlign w:val="center"/>
          </w:tcPr>
          <w:p w14:paraId="36BFE478">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理解准确，思路清晰，全面、合理，符合项目要求，得4.0-5.0分；</w:t>
            </w:r>
          </w:p>
        </w:tc>
      </w:tr>
      <w:tr w14:paraId="3BA8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302B6BEF">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41E50E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984154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37F4B863">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3425826">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6D0A83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620C64C7">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理解较准确，思路较清晰，得3.0-4.0分</w:t>
            </w:r>
          </w:p>
        </w:tc>
      </w:tr>
      <w:tr w14:paraId="3218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285A822">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D25F5C6">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523C8D78">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C64A1E7">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8F45952">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2035637">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1238EFD4">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理解基本准确，得3.0分</w:t>
            </w:r>
          </w:p>
        </w:tc>
      </w:tr>
      <w:tr w14:paraId="72E8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61B7F77B">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677AD8E">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3BE503D1">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046EC359">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EDBCA99">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3DF72698">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监理方案及措施</w:t>
            </w:r>
          </w:p>
          <w:p w14:paraId="2F23B3D5">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67028148">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方案详尽，措施具体全面合理，可行性强，得8.0-10.0分</w:t>
            </w:r>
          </w:p>
        </w:tc>
      </w:tr>
      <w:tr w14:paraId="10CC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3033D5D">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D63A7B4">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612978E">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C390364">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C495E11">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465A09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539FBD44">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方案较详尽，措施合理，可行性较好，得6.0-8.0分</w:t>
            </w:r>
          </w:p>
        </w:tc>
      </w:tr>
      <w:tr w14:paraId="49B2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4A70F30">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DEB28ED">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FF2F419">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1010A711">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D77210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CA407F4">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2B2A509E">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方案一般，措施基本全面，可行性一般，得6.0-分</w:t>
            </w:r>
          </w:p>
        </w:tc>
      </w:tr>
      <w:tr w14:paraId="7209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4C0933A2">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3E72B6B">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5C474C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627DD63A">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4EA338B">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592BA07B">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监理工</w:t>
            </w:r>
          </w:p>
          <w:p w14:paraId="39076810">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作程序</w:t>
            </w:r>
          </w:p>
          <w:p w14:paraId="32CB6253">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6F3D7394">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内容齐全，阶段划分合理、正确，可实施性强，得8.0-10.0分</w:t>
            </w:r>
          </w:p>
        </w:tc>
      </w:tr>
      <w:tr w14:paraId="6F10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D49B25F">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216F942">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330DC22F">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98DD4D7">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B155289">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7C50F57">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43B1898B">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内容较齐全，阶段划分较合理，可实施性较好，得6.0-8.0分</w:t>
            </w:r>
          </w:p>
        </w:tc>
      </w:tr>
      <w:tr w14:paraId="745C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0D883884">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F4451A8">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1375780">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88ABCF5">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816E50B">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5BF32CF">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7F951B33">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 xml:space="preserve">内容基本齐全，阶段划分基本合理，可实施性一般，得6.0分 </w:t>
            </w:r>
          </w:p>
        </w:tc>
      </w:tr>
      <w:tr w14:paraId="680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8D30311">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6CBAE69">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1DC80F1E">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44200EF0">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本工程监理工作的重点与难点分析</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31039CFB">
            <w:pPr>
              <w:pStyle w:val="4"/>
              <w:keepNext w:val="0"/>
              <w:keepLines w:val="0"/>
              <w:suppressLineNumbers w:val="0"/>
              <w:spacing w:before="0" w:beforeAutospacing="0" w:after="0" w:afterAutospacing="0" w:line="160" w:lineRule="atLeast"/>
              <w:ind w:left="33" w:leftChars="-48" w:right="0" w:hanging="134" w:hangingChars="64"/>
              <w:jc w:val="center"/>
              <w:textAlignment w:val="baseline"/>
              <w:rPr>
                <w:rFonts w:hint="eastAsia" w:hAnsi="宋体"/>
                <w:color w:val="auto"/>
                <w:highlight w:val="none"/>
              </w:rPr>
            </w:pPr>
            <w:r>
              <w:rPr>
                <w:rFonts w:hint="eastAsia" w:hAnsi="宋体"/>
                <w:color w:val="auto"/>
                <w:highlight w:val="none"/>
              </w:rPr>
              <w:t>5分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5C480113">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分析透彻，对难点、重点把握准确；处理措施科学合理，有效可行，得4.0-5.0分</w:t>
            </w:r>
          </w:p>
        </w:tc>
      </w:tr>
      <w:tr w14:paraId="3145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67471B5">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DB522D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F7217B1">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34717B58">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8DBE23D">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4824A3F5">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分析较透彻，对难点、重点把握较准确；处理措施合理，可行，得3.0-4.0分</w:t>
            </w:r>
          </w:p>
        </w:tc>
      </w:tr>
      <w:tr w14:paraId="2548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CCD8C6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5ABB4D0">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171BDAF8">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785BA6A4">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1C56C478">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A73BF94">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分析一般，对难点、重点把握一般；处理措施基本合理，基本可行，得3.0分</w:t>
            </w:r>
          </w:p>
        </w:tc>
      </w:tr>
      <w:tr w14:paraId="0438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45DA4692">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9C7105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4F08CBA">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724FE444">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对本工程的建议</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44F7B9BF">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default" w:hAnsi="宋体"/>
                <w:color w:val="auto"/>
                <w:highlight w:val="none"/>
              </w:rPr>
              <w:t>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190903C9">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建议措施具体全面、可靠、合理，可实施性强，4.0-5.0分</w:t>
            </w:r>
          </w:p>
        </w:tc>
      </w:tr>
      <w:tr w14:paraId="54B5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E372346">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79DBA5C">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52CFDDA6">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E1C04BD">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BB8A08F">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8AECC53">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建议措施全面、合理，可实施性较好，得3.0-4.0分</w:t>
            </w:r>
          </w:p>
        </w:tc>
      </w:tr>
      <w:tr w14:paraId="440F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0C3A0213">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09B9C97">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7A5864A9">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97B4680">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8A1F007">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5C97DDC0">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建议措施基本全面、合理，可实施性一般，得3.0分</w:t>
            </w:r>
          </w:p>
        </w:tc>
      </w:tr>
      <w:tr w14:paraId="4D12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702" w:type="dxa"/>
            <w:vMerge w:val="restart"/>
            <w:tcBorders>
              <w:top w:val="nil"/>
              <w:left w:val="single" w:color="auto" w:sz="4" w:space="0"/>
              <w:bottom w:val="single" w:color="auto" w:sz="4" w:space="0"/>
              <w:right w:val="single" w:color="auto" w:sz="4" w:space="0"/>
            </w:tcBorders>
            <w:vAlign w:val="center"/>
          </w:tcPr>
          <w:p w14:paraId="5261E282">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2.2.4（2）</w:t>
            </w:r>
          </w:p>
        </w:tc>
        <w:tc>
          <w:tcPr>
            <w:tcW w:w="636" w:type="dxa"/>
            <w:vMerge w:val="restart"/>
            <w:tcBorders>
              <w:top w:val="nil"/>
              <w:left w:val="single" w:color="auto" w:sz="4" w:space="0"/>
              <w:bottom w:val="single" w:color="auto" w:sz="4" w:space="0"/>
              <w:right w:val="single" w:color="auto" w:sz="4" w:space="0"/>
            </w:tcBorders>
            <w:vAlign w:val="center"/>
          </w:tcPr>
          <w:p w14:paraId="45D689DC">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主要人员</w:t>
            </w:r>
          </w:p>
        </w:tc>
        <w:tc>
          <w:tcPr>
            <w:tcW w:w="732" w:type="dxa"/>
            <w:vMerge w:val="restart"/>
            <w:tcBorders>
              <w:top w:val="nil"/>
              <w:left w:val="single" w:color="auto" w:sz="4" w:space="0"/>
              <w:bottom w:val="single" w:color="auto" w:sz="4" w:space="0"/>
              <w:right w:val="single" w:color="auto" w:sz="4" w:space="0"/>
            </w:tcBorders>
            <w:vAlign w:val="center"/>
          </w:tcPr>
          <w:p w14:paraId="3171EF77">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30分</w:t>
            </w:r>
          </w:p>
        </w:tc>
        <w:tc>
          <w:tcPr>
            <w:tcW w:w="1355" w:type="dxa"/>
            <w:vMerge w:val="restart"/>
            <w:tcBorders>
              <w:top w:val="single" w:color="auto" w:sz="4" w:space="0"/>
              <w:left w:val="single" w:color="auto" w:sz="4" w:space="0"/>
              <w:right w:val="single" w:color="auto" w:sz="4" w:space="0"/>
            </w:tcBorders>
            <w:vAlign w:val="center"/>
          </w:tcPr>
          <w:p w14:paraId="39B22751">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s="宋体"/>
                <w:color w:val="auto"/>
                <w:szCs w:val="24"/>
                <w:highlight w:val="none"/>
              </w:rPr>
              <w:t>总监理工程师</w:t>
            </w:r>
          </w:p>
        </w:tc>
        <w:tc>
          <w:tcPr>
            <w:tcW w:w="708" w:type="dxa"/>
            <w:tcBorders>
              <w:top w:val="single" w:color="auto" w:sz="4" w:space="0"/>
              <w:left w:val="single" w:color="auto" w:sz="4" w:space="0"/>
              <w:bottom w:val="single" w:color="auto" w:sz="4" w:space="0"/>
              <w:right w:val="single" w:color="auto" w:sz="4" w:space="0"/>
            </w:tcBorders>
            <w:vAlign w:val="center"/>
          </w:tcPr>
          <w:p w14:paraId="3D683052">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lang w:val="en-US" w:eastAsia="zh-CN"/>
              </w:rPr>
              <w:t>24</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141062B8">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满足附录4资格审查条件（总监理工程师最低要求）得</w:t>
            </w:r>
            <w:r>
              <w:rPr>
                <w:rFonts w:hint="eastAsia" w:hAnsi="宋体"/>
                <w:color w:val="auto"/>
                <w:highlight w:val="none"/>
                <w:lang w:val="en-US" w:eastAsia="zh-CN"/>
              </w:rPr>
              <w:t>24</w:t>
            </w:r>
            <w:r>
              <w:rPr>
                <w:rFonts w:hint="eastAsia" w:hAnsi="宋体"/>
                <w:color w:val="auto"/>
                <w:highlight w:val="none"/>
              </w:rPr>
              <w:t>分；</w:t>
            </w:r>
          </w:p>
        </w:tc>
      </w:tr>
      <w:tr w14:paraId="7CB4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02" w:type="dxa"/>
            <w:vMerge w:val="continue"/>
            <w:tcBorders>
              <w:top w:val="nil"/>
              <w:left w:val="single" w:color="auto" w:sz="4" w:space="0"/>
              <w:bottom w:val="single" w:color="auto" w:sz="4" w:space="0"/>
              <w:right w:val="single" w:color="auto" w:sz="4" w:space="0"/>
            </w:tcBorders>
            <w:vAlign w:val="center"/>
          </w:tcPr>
          <w:p w14:paraId="68D420BF">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top w:val="nil"/>
              <w:left w:val="single" w:color="auto" w:sz="4" w:space="0"/>
              <w:bottom w:val="single" w:color="auto" w:sz="4" w:space="0"/>
              <w:right w:val="single" w:color="auto" w:sz="4" w:space="0"/>
            </w:tcBorders>
            <w:vAlign w:val="center"/>
          </w:tcPr>
          <w:p w14:paraId="26CC0E31">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top w:val="nil"/>
              <w:left w:val="single" w:color="auto" w:sz="4" w:space="0"/>
              <w:bottom w:val="single" w:color="auto" w:sz="4" w:space="0"/>
              <w:right w:val="single" w:color="auto" w:sz="4" w:space="0"/>
            </w:tcBorders>
            <w:vAlign w:val="center"/>
          </w:tcPr>
          <w:p w14:paraId="163B9E4B">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right w:val="single" w:color="auto" w:sz="4" w:space="0"/>
            </w:tcBorders>
            <w:vAlign w:val="center"/>
          </w:tcPr>
          <w:p w14:paraId="1FA2B78F">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7E0364D2">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lang w:val="en-US" w:eastAsia="zh-CN"/>
              </w:rPr>
              <w:t>6</w:t>
            </w:r>
            <w:r>
              <w:rPr>
                <w:rFonts w:hint="eastAsia" w:hAnsi="宋体"/>
                <w:color w:val="auto"/>
                <w:highlight w:val="none"/>
              </w:rPr>
              <w:t>分</w:t>
            </w:r>
          </w:p>
        </w:tc>
        <w:tc>
          <w:tcPr>
            <w:tcW w:w="5635" w:type="dxa"/>
            <w:gridSpan w:val="2"/>
            <w:tcBorders>
              <w:top w:val="single" w:color="auto" w:sz="4" w:space="0"/>
              <w:left w:val="single" w:color="auto" w:sz="4" w:space="0"/>
              <w:right w:val="single" w:color="auto" w:sz="4" w:space="0"/>
            </w:tcBorders>
            <w:vAlign w:val="center"/>
          </w:tcPr>
          <w:p w14:paraId="3B7A8111">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每增加一项满足附录4资格审查条件（总监理工程师最低要求）中的业绩加</w:t>
            </w:r>
            <w:r>
              <w:rPr>
                <w:rFonts w:hint="eastAsia" w:hAnsi="宋体"/>
                <w:color w:val="auto"/>
                <w:highlight w:val="none"/>
                <w:lang w:val="en-US" w:eastAsia="zh-CN"/>
              </w:rPr>
              <w:t>6</w:t>
            </w:r>
            <w:r>
              <w:rPr>
                <w:rFonts w:hint="eastAsia" w:hAnsi="宋体"/>
                <w:color w:val="auto"/>
                <w:highlight w:val="none"/>
              </w:rPr>
              <w:t>分，本项最多加</w:t>
            </w:r>
            <w:r>
              <w:rPr>
                <w:rFonts w:hint="eastAsia" w:hAnsi="宋体"/>
                <w:color w:val="auto"/>
                <w:highlight w:val="none"/>
                <w:lang w:val="en-US" w:eastAsia="zh-CN"/>
              </w:rPr>
              <w:t>6</w:t>
            </w:r>
            <w:r>
              <w:rPr>
                <w:rFonts w:hint="eastAsia" w:hAnsi="宋体"/>
                <w:color w:val="auto"/>
                <w:highlight w:val="none"/>
              </w:rPr>
              <w:t>分。</w:t>
            </w:r>
          </w:p>
        </w:tc>
      </w:tr>
      <w:tr w14:paraId="64A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02" w:type="dxa"/>
            <w:tcBorders>
              <w:top w:val="nil"/>
              <w:left w:val="single" w:color="auto" w:sz="4" w:space="0"/>
              <w:bottom w:val="single" w:color="auto" w:sz="4" w:space="0"/>
              <w:right w:val="single" w:color="auto" w:sz="4" w:space="0"/>
            </w:tcBorders>
            <w:vAlign w:val="center"/>
          </w:tcPr>
          <w:p w14:paraId="7FFEA1D6">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2.2.4（3）</w:t>
            </w:r>
          </w:p>
        </w:tc>
        <w:tc>
          <w:tcPr>
            <w:tcW w:w="636" w:type="dxa"/>
            <w:tcBorders>
              <w:top w:val="nil"/>
              <w:left w:val="single" w:color="auto" w:sz="4" w:space="0"/>
              <w:bottom w:val="single" w:color="auto" w:sz="4" w:space="0"/>
              <w:right w:val="single" w:color="auto" w:sz="4" w:space="0"/>
            </w:tcBorders>
            <w:vAlign w:val="center"/>
          </w:tcPr>
          <w:p w14:paraId="36501467">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评标价</w:t>
            </w:r>
          </w:p>
        </w:tc>
        <w:tc>
          <w:tcPr>
            <w:tcW w:w="732" w:type="dxa"/>
            <w:tcBorders>
              <w:top w:val="nil"/>
              <w:left w:val="single" w:color="auto" w:sz="4" w:space="0"/>
              <w:bottom w:val="single" w:color="auto" w:sz="4" w:space="0"/>
              <w:right w:val="single" w:color="auto" w:sz="4" w:space="0"/>
            </w:tcBorders>
            <w:vAlign w:val="center"/>
          </w:tcPr>
          <w:p w14:paraId="66DC8579">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10分</w:t>
            </w:r>
          </w:p>
        </w:tc>
        <w:tc>
          <w:tcPr>
            <w:tcW w:w="7698" w:type="dxa"/>
            <w:gridSpan w:val="4"/>
            <w:tcBorders>
              <w:top w:val="single" w:color="auto" w:sz="4" w:space="0"/>
              <w:left w:val="single" w:color="auto" w:sz="4" w:space="0"/>
              <w:bottom w:val="single" w:color="auto" w:sz="4" w:space="0"/>
              <w:right w:val="single" w:color="auto" w:sz="4" w:space="0"/>
            </w:tcBorders>
            <w:vAlign w:val="center"/>
          </w:tcPr>
          <w:p w14:paraId="40F5F17A">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评标价得分计算公式示例：</w:t>
            </w:r>
          </w:p>
          <w:p w14:paraId="0AAF0AF6">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（1）如果投标人的评标价＞评标基准价，则评标价得分=F-</w:t>
            </w:r>
            <w:r>
              <w:rPr>
                <w:rFonts w:hint="eastAsia" w:ascii="宋体" w:hAnsi="宋体" w:cs="宋体"/>
                <w:color w:val="auto"/>
                <w:szCs w:val="21"/>
                <w:highlight w:val="none"/>
              </w:rPr>
              <w:t>偏差率</w:t>
            </w:r>
            <w:r>
              <w:rPr>
                <w:rFonts w:hint="eastAsia" w:hAnsi="宋体"/>
                <w:color w:val="auto"/>
                <w:highlight w:val="none"/>
              </w:rPr>
              <w:t>×E1；</w:t>
            </w:r>
          </w:p>
          <w:p w14:paraId="1C1676F4">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（2）如果投标人的评标价≤评标基准价，则评标价得分=F+</w:t>
            </w:r>
            <w:r>
              <w:rPr>
                <w:rFonts w:hint="eastAsia" w:ascii="宋体" w:hAnsi="宋体" w:cs="宋体"/>
                <w:color w:val="auto"/>
                <w:szCs w:val="21"/>
                <w:highlight w:val="none"/>
              </w:rPr>
              <w:t>偏差率</w:t>
            </w:r>
            <w:r>
              <w:rPr>
                <w:rFonts w:hint="eastAsia" w:hAnsi="宋体"/>
                <w:color w:val="auto"/>
                <w:highlight w:val="none"/>
              </w:rPr>
              <w:t>×E2。</w:t>
            </w:r>
          </w:p>
          <w:p w14:paraId="711D1B3E">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其中，F=10；E1=0.</w:t>
            </w:r>
            <w:r>
              <w:rPr>
                <w:rFonts w:hint="default" w:hAnsi="宋体"/>
                <w:color w:val="auto"/>
                <w:highlight w:val="none"/>
              </w:rPr>
              <w:t>2</w:t>
            </w:r>
            <w:r>
              <w:rPr>
                <w:rFonts w:hint="eastAsia" w:hAnsi="宋体"/>
                <w:color w:val="auto"/>
                <w:highlight w:val="none"/>
              </w:rPr>
              <w:t>；E2=0.</w:t>
            </w:r>
            <w:r>
              <w:rPr>
                <w:rFonts w:hint="default" w:hAnsi="宋体"/>
                <w:color w:val="auto"/>
                <w:highlight w:val="none"/>
              </w:rPr>
              <w:t>1</w:t>
            </w:r>
            <w:r>
              <w:rPr>
                <w:rFonts w:hint="eastAsia" w:hAnsi="宋体"/>
                <w:color w:val="auto"/>
                <w:highlight w:val="none"/>
              </w:rPr>
              <w:t>；评标价最低得分为0分。</w:t>
            </w:r>
          </w:p>
        </w:tc>
      </w:tr>
      <w:tr w14:paraId="01AB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02" w:type="dxa"/>
            <w:vMerge w:val="restart"/>
            <w:tcBorders>
              <w:top w:val="single" w:color="auto" w:sz="4" w:space="0"/>
              <w:left w:val="single" w:color="auto" w:sz="4" w:space="0"/>
              <w:right w:val="single" w:color="auto" w:sz="4" w:space="0"/>
            </w:tcBorders>
            <w:vAlign w:val="center"/>
          </w:tcPr>
          <w:p w14:paraId="5AA643EA">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2.2.4（4）</w:t>
            </w:r>
          </w:p>
        </w:tc>
        <w:tc>
          <w:tcPr>
            <w:tcW w:w="636" w:type="dxa"/>
            <w:vMerge w:val="restart"/>
            <w:tcBorders>
              <w:top w:val="single" w:color="auto" w:sz="4" w:space="0"/>
              <w:left w:val="single" w:color="auto" w:sz="4" w:space="0"/>
              <w:right w:val="single" w:color="auto" w:sz="4" w:space="0"/>
            </w:tcBorders>
            <w:vAlign w:val="center"/>
          </w:tcPr>
          <w:p w14:paraId="45A613F4">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eastAsia" w:hAnsi="宋体"/>
                <w:color w:val="auto"/>
                <w:highlight w:val="none"/>
              </w:rPr>
              <w:t>其他因素</w:t>
            </w:r>
          </w:p>
        </w:tc>
        <w:tc>
          <w:tcPr>
            <w:tcW w:w="732" w:type="dxa"/>
            <w:vMerge w:val="restart"/>
            <w:tcBorders>
              <w:top w:val="single" w:color="auto" w:sz="4" w:space="0"/>
              <w:left w:val="single" w:color="auto" w:sz="4" w:space="0"/>
              <w:right w:val="single" w:color="auto" w:sz="4" w:space="0"/>
            </w:tcBorders>
            <w:vAlign w:val="center"/>
          </w:tcPr>
          <w:p w14:paraId="27FC4A2B">
            <w:pPr>
              <w:pStyle w:val="4"/>
              <w:keepNext w:val="0"/>
              <w:keepLines w:val="0"/>
              <w:suppressLineNumbers w:val="0"/>
              <w:spacing w:before="0" w:beforeAutospacing="0" w:after="0" w:afterAutospacing="0" w:line="160" w:lineRule="atLeast"/>
              <w:ind w:left="0" w:right="0"/>
              <w:jc w:val="center"/>
              <w:textAlignment w:val="baseline"/>
              <w:rPr>
                <w:rFonts w:hint="eastAsia" w:hAnsi="宋体"/>
                <w:color w:val="auto"/>
                <w:highlight w:val="none"/>
              </w:rPr>
            </w:pPr>
            <w:r>
              <w:rPr>
                <w:rFonts w:hint="default" w:hAnsi="宋体"/>
                <w:color w:val="auto"/>
                <w:highlight w:val="none"/>
              </w:rPr>
              <w:t>25</w:t>
            </w:r>
            <w:r>
              <w:rPr>
                <w:rFonts w:hint="eastAsia" w:hAnsi="宋体"/>
                <w:color w:val="auto"/>
                <w:highlight w:val="none"/>
              </w:rPr>
              <w:t>分</w:t>
            </w:r>
          </w:p>
        </w:tc>
        <w:tc>
          <w:tcPr>
            <w:tcW w:w="1355" w:type="dxa"/>
            <w:vMerge w:val="restart"/>
            <w:tcBorders>
              <w:top w:val="single" w:color="auto" w:sz="4" w:space="0"/>
              <w:left w:val="single" w:color="auto" w:sz="4" w:space="0"/>
              <w:right w:val="single" w:color="auto" w:sz="4" w:space="0"/>
            </w:tcBorders>
            <w:vAlign w:val="center"/>
          </w:tcPr>
          <w:p w14:paraId="3F9C26B0">
            <w:pPr>
              <w:pStyle w:val="10"/>
              <w:keepNext w:val="0"/>
              <w:keepLines w:val="0"/>
              <w:suppressLineNumbers w:val="0"/>
              <w:spacing w:before="0" w:beforeAutospacing="0" w:after="0" w:afterAutospacing="0" w:line="264" w:lineRule="auto"/>
              <w:ind w:left="0" w:right="0" w:firstLine="23" w:firstLineChars="11"/>
              <w:rPr>
                <w:rFonts w:hint="eastAsia" w:hAnsi="宋体"/>
                <w:color w:val="auto"/>
                <w:highlight w:val="none"/>
              </w:rPr>
            </w:pPr>
            <w:r>
              <w:rPr>
                <w:rFonts w:hint="eastAsia" w:hAnsi="宋体"/>
                <w:color w:val="auto"/>
                <w:highlight w:val="none"/>
              </w:rPr>
              <w:t>企业业绩</w:t>
            </w:r>
          </w:p>
        </w:tc>
        <w:tc>
          <w:tcPr>
            <w:tcW w:w="708" w:type="dxa"/>
            <w:tcBorders>
              <w:top w:val="single" w:color="auto" w:sz="4" w:space="0"/>
              <w:left w:val="single" w:color="auto" w:sz="4" w:space="0"/>
              <w:bottom w:val="single" w:color="auto" w:sz="4" w:space="0"/>
              <w:right w:val="single" w:color="auto" w:sz="4" w:space="0"/>
            </w:tcBorders>
            <w:vAlign w:val="center"/>
          </w:tcPr>
          <w:p w14:paraId="35578968">
            <w:pPr>
              <w:pStyle w:val="4"/>
              <w:keepNext w:val="0"/>
              <w:keepLines w:val="0"/>
              <w:suppressLineNumbers w:val="0"/>
              <w:spacing w:before="0" w:beforeAutospacing="0" w:after="0" w:afterAutospacing="0" w:line="160" w:lineRule="atLeast"/>
              <w:ind w:left="0" w:right="-71" w:rightChars="-34"/>
              <w:jc w:val="center"/>
              <w:textAlignment w:val="baseline"/>
              <w:rPr>
                <w:rFonts w:hint="eastAsia" w:hAnsi="宋体"/>
                <w:color w:val="auto"/>
                <w:highlight w:val="none"/>
              </w:rPr>
            </w:pPr>
            <w:r>
              <w:rPr>
                <w:rFonts w:hint="default" w:hAnsi="宋体"/>
                <w:color w:val="auto"/>
                <w:highlight w:val="none"/>
              </w:rPr>
              <w:t>15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6F858207">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满足附录2资格审查条件（业绩最低要求）的，得15分；</w:t>
            </w:r>
          </w:p>
        </w:tc>
      </w:tr>
      <w:tr w14:paraId="490A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702" w:type="dxa"/>
            <w:vMerge w:val="continue"/>
            <w:tcBorders>
              <w:left w:val="single" w:color="auto" w:sz="4" w:space="0"/>
              <w:right w:val="single" w:color="auto" w:sz="4" w:space="0"/>
            </w:tcBorders>
            <w:vAlign w:val="center"/>
          </w:tcPr>
          <w:p w14:paraId="11788C4E">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636" w:type="dxa"/>
            <w:vMerge w:val="continue"/>
            <w:tcBorders>
              <w:left w:val="single" w:color="auto" w:sz="4" w:space="0"/>
              <w:right w:val="single" w:color="auto" w:sz="4" w:space="0"/>
            </w:tcBorders>
            <w:vAlign w:val="center"/>
          </w:tcPr>
          <w:p w14:paraId="336051BD">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732" w:type="dxa"/>
            <w:vMerge w:val="continue"/>
            <w:tcBorders>
              <w:left w:val="single" w:color="auto" w:sz="4" w:space="0"/>
              <w:right w:val="single" w:color="auto" w:sz="4" w:space="0"/>
            </w:tcBorders>
            <w:vAlign w:val="center"/>
          </w:tcPr>
          <w:p w14:paraId="35DA759D">
            <w:pPr>
              <w:keepNext w:val="0"/>
              <w:keepLines w:val="0"/>
              <w:widowControl/>
              <w:suppressLineNumbers w:val="0"/>
              <w:spacing w:before="0" w:beforeAutospacing="0" w:after="0" w:afterAutospacing="0"/>
              <w:ind w:left="0" w:right="0"/>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bottom w:val="single" w:color="auto" w:sz="4" w:space="0"/>
              <w:right w:val="single" w:color="auto" w:sz="4" w:space="0"/>
            </w:tcBorders>
            <w:vAlign w:val="center"/>
          </w:tcPr>
          <w:p w14:paraId="3DD0FA29">
            <w:pPr>
              <w:pStyle w:val="10"/>
              <w:keepNext w:val="0"/>
              <w:keepLines w:val="0"/>
              <w:suppressLineNumbers w:val="0"/>
              <w:spacing w:before="0" w:beforeAutospacing="0" w:after="0" w:afterAutospacing="0" w:line="264" w:lineRule="auto"/>
              <w:ind w:left="0" w:right="0" w:firstLine="23" w:firstLineChars="11"/>
              <w:rPr>
                <w:rFonts w:hint="eastAsia" w:hAnsi="宋体"/>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4360E183">
            <w:pPr>
              <w:pStyle w:val="4"/>
              <w:keepNext w:val="0"/>
              <w:keepLines w:val="0"/>
              <w:suppressLineNumbers w:val="0"/>
              <w:spacing w:before="0" w:beforeAutospacing="0" w:after="0" w:afterAutospacing="0" w:line="160" w:lineRule="atLeast"/>
              <w:ind w:left="0" w:right="-71" w:rightChars="-34"/>
              <w:jc w:val="center"/>
              <w:textAlignment w:val="baseline"/>
              <w:rPr>
                <w:rFonts w:hint="eastAsia" w:hAnsi="宋体"/>
                <w:color w:val="auto"/>
                <w:highlight w:val="none"/>
              </w:rPr>
            </w:pPr>
            <w:r>
              <w:rPr>
                <w:rFonts w:hint="default" w:hAnsi="宋体"/>
                <w:color w:val="auto"/>
                <w:highlight w:val="none"/>
              </w:rPr>
              <w:t>10</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6DC2AEA4">
            <w:pPr>
              <w:pStyle w:val="4"/>
              <w:keepNext w:val="0"/>
              <w:keepLines w:val="0"/>
              <w:suppressLineNumbers w:val="0"/>
              <w:spacing w:before="0" w:beforeAutospacing="0" w:after="0" w:afterAutospacing="0" w:line="160" w:lineRule="atLeast"/>
              <w:ind w:left="0" w:right="0"/>
              <w:jc w:val="left"/>
              <w:textAlignment w:val="baseline"/>
              <w:rPr>
                <w:rFonts w:hint="eastAsia" w:hAnsi="宋体"/>
                <w:color w:val="auto"/>
                <w:highlight w:val="none"/>
              </w:rPr>
            </w:pPr>
            <w:r>
              <w:rPr>
                <w:rFonts w:hint="eastAsia" w:hAnsi="宋体"/>
                <w:color w:val="auto"/>
                <w:highlight w:val="none"/>
              </w:rPr>
              <w:t>每增加一项满足附录2资格审查条件（业绩最低要求）的业绩加</w:t>
            </w:r>
            <w:r>
              <w:rPr>
                <w:rFonts w:hint="eastAsia" w:hAnsi="宋体"/>
                <w:color w:val="auto"/>
                <w:highlight w:val="none"/>
                <w:lang w:val="en-US" w:eastAsia="zh-CN"/>
              </w:rPr>
              <w:t>5</w:t>
            </w:r>
            <w:r>
              <w:rPr>
                <w:rFonts w:hint="eastAsia" w:hAnsi="宋体"/>
                <w:color w:val="auto"/>
                <w:highlight w:val="none"/>
              </w:rPr>
              <w:t>分，本项最多加10分。</w:t>
            </w:r>
          </w:p>
        </w:tc>
      </w:tr>
    </w:tbl>
    <w:p w14:paraId="4A52C9A7">
      <w:pPr>
        <w:pStyle w:val="4"/>
        <w:textAlignment w:val="baseline"/>
        <w:rPr>
          <w:rFonts w:hint="eastAsia"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76482366">
      <w:pPr>
        <w:pStyle w:val="4"/>
        <w:ind w:firstLine="420" w:firstLineChars="200"/>
        <w:textAlignment w:val="baseline"/>
        <w:rPr>
          <w:rFonts w:hint="eastAsia" w:hAnsi="宋体"/>
          <w:color w:val="auto"/>
          <w:highlight w:val="none"/>
        </w:rPr>
      </w:pPr>
      <w:r>
        <w:rPr>
          <w:rFonts w:hint="eastAsia" w:hAnsi="宋体"/>
          <w:color w:val="auto"/>
          <w:highlight w:val="none"/>
        </w:rPr>
        <w:t>2、第2.2.4（1）项评标委员会成员对某一项评分因素的评分低于权重分值 60%的，应在评标报告中作出说明。评审</w:t>
      </w:r>
      <w:r>
        <w:rPr>
          <w:rFonts w:hint="eastAsia" w:hAnsi="宋体"/>
          <w:color w:val="auto"/>
          <w:highlight w:val="none"/>
          <w:lang w:val="en-US" w:eastAsia="zh-CN"/>
        </w:rPr>
        <w:t>因素细分项</w:t>
      </w:r>
      <w:r>
        <w:rPr>
          <w:rFonts w:hint="eastAsia" w:hAnsi="宋体"/>
          <w:color w:val="auto"/>
          <w:highlight w:val="none"/>
        </w:rPr>
        <w:t>缺项则该项得0分。</w:t>
      </w:r>
    </w:p>
    <w:p w14:paraId="1B52F4AB">
      <w:pPr>
        <w:widowControl/>
        <w:jc w:val="left"/>
      </w:pP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186383"/>
    <w:rsid w:val="052D4EEB"/>
    <w:rsid w:val="1490204D"/>
    <w:rsid w:val="16157A01"/>
    <w:rsid w:val="361B7445"/>
    <w:rsid w:val="69981651"/>
    <w:rsid w:val="6C6972D4"/>
    <w:rsid w:val="7C186383"/>
    <w:rsid w:val="7D31799A"/>
    <w:rsid w:val="7DED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4">
    <w:name w:val="Plain Text"/>
    <w:basedOn w:val="1"/>
    <w:unhideWhenUsed/>
    <w:qFormat/>
    <w:uiPriority w:val="0"/>
    <w:rPr>
      <w:rFonts w:ascii="宋体" w:cs="Courier New" w:hAnsiTheme="minorHAnsi" w:eastAsiaTheme="minorEastAsia"/>
      <w:szCs w:val="21"/>
    </w:rPr>
  </w:style>
  <w:style w:type="paragraph" w:customStyle="1" w:styleId="7">
    <w:name w:val="1正文"/>
    <w:basedOn w:val="1"/>
    <w:autoRedefine/>
    <w:qFormat/>
    <w:uiPriority w:val="0"/>
    <w:pPr>
      <w:spacing w:line="360" w:lineRule="auto"/>
      <w:ind w:firstLine="480" w:firstLineChars="200"/>
    </w:pPr>
    <w:rPr>
      <w:snapToGrid w:val="0"/>
      <w:sz w:val="24"/>
      <w:szCs w:val="32"/>
    </w:rPr>
  </w:style>
  <w:style w:type="character" w:customStyle="1" w:styleId="8">
    <w:name w:val="NormalCharacter"/>
    <w:link w:val="9"/>
    <w:qFormat/>
    <w:uiPriority w:val="0"/>
    <w:rPr>
      <w:kern w:val="0"/>
      <w:sz w:val="20"/>
      <w:szCs w:val="20"/>
    </w:rPr>
  </w:style>
  <w:style w:type="paragraph" w:customStyle="1" w:styleId="9">
    <w:name w:val="UserStyle_24"/>
    <w:basedOn w:val="1"/>
    <w:link w:val="8"/>
    <w:qFormat/>
    <w:uiPriority w:val="0"/>
    <w:pPr>
      <w:widowControl/>
      <w:spacing w:line="360" w:lineRule="auto"/>
      <w:ind w:firstLine="200" w:firstLineChars="200"/>
      <w:jc w:val="left"/>
    </w:pPr>
    <w:rPr>
      <w:kern w:val="0"/>
      <w:sz w:val="20"/>
      <w:szCs w:val="20"/>
    </w:rPr>
  </w:style>
  <w:style w:type="paragraph" w:customStyle="1" w:styleId="10">
    <w:name w:val="UserStyle_340"/>
    <w:basedOn w:val="1"/>
    <w:qFormat/>
    <w:uiPriority w:val="0"/>
    <w:pPr>
      <w:widowControl/>
      <w:spacing w:line="340" w:lineRule="exact"/>
      <w:jc w:val="center"/>
    </w:pPr>
    <w:rPr>
      <w:rFonts w:ascii="宋体" w:hAnsi="Calibri"/>
      <w:bCs/>
      <w:color w:val="000000"/>
      <w:kern w:val="0"/>
      <w:szCs w:val="21"/>
    </w:rPr>
  </w:style>
  <w:style w:type="paragraph" w:customStyle="1" w:styleId="11">
    <w:name w:val="Table Text"/>
    <w:basedOn w:val="1"/>
    <w:autoRedefine/>
    <w:semiHidden/>
    <w:qFormat/>
    <w:uiPriority w:val="0"/>
    <w:rPr>
      <w:rFonts w:ascii="宋体" w:hAnsi="宋体" w:eastAsia="宋体" w:cs="宋体"/>
      <w:sz w:val="20"/>
      <w:szCs w:val="20"/>
      <w:lang w:val="en-US" w:eastAsia="en-US" w:bidi="ar-SA"/>
    </w:rPr>
  </w:style>
  <w:style w:type="character" w:customStyle="1" w:styleId="12">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6567</Words>
  <Characters>7341</Characters>
  <Lines>0</Lines>
  <Paragraphs>0</Paragraphs>
  <TotalTime>0</TotalTime>
  <ScaleCrop>false</ScaleCrop>
  <LinksUpToDate>false</LinksUpToDate>
  <CharactersWithSpaces>7428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2026-08-12T02:42:00Z</dcterms:created>
  <dc:creator>鲁鹏</dc:creator>
  <cp:lastModifiedBy>冯士峰</cp:lastModifiedBy>
  <dcterms:modified xsi:type="dcterms:W3CDTF">2026-08-14T01:15:15Z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217BBE1F4594479282155BDA4D953500_11</vt:lpwstr>
  </property>
  <property fmtid="{D5CDD505-2E9C-101B-9397-08002B2CF9AE}" pid="4" name="KSOTemplateDocerSaveRecord">
    <vt:lpwstr>eyJoZGlkIjoiMjNhMGNiNzBmYzRmYmU1YWU1ZDVjYzI3MTI0YTIzZjQiLCJ1c2VySWQiOiIxNjg3ODQzOTczIn0=</vt:lpwstr>
  </property>
</Properties>
</file>