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2DBD85">
      <w:pPr>
        <w:adjustRightInd w:val="0"/>
        <w:snapToGrid w:val="0"/>
        <w:spacing w:before="120" w:beforeLines="50" w:line="276" w:lineRule="auto"/>
        <w:outlineLvl w:val="2"/>
        <w:rPr>
          <w:b/>
          <w:color w:val="auto"/>
          <w:sz w:val="24"/>
          <w:highlight w:val="none"/>
        </w:rPr>
      </w:pPr>
      <w:bookmarkStart w:id="0" w:name="_Toc514238201"/>
      <w:r>
        <w:rPr>
          <w:b/>
          <w:color w:val="auto"/>
          <w:sz w:val="24"/>
          <w:highlight w:val="none"/>
        </w:rPr>
        <w:t>附件1：资格审查条件</w:t>
      </w:r>
      <w:bookmarkEnd w:id="0"/>
    </w:p>
    <w:p w14:paraId="24CF125D">
      <w:pPr>
        <w:adjustRightInd w:val="0"/>
        <w:spacing w:line="400" w:lineRule="exact"/>
        <w:jc w:val="center"/>
        <w:rPr>
          <w:b/>
          <w:color w:val="auto"/>
          <w:sz w:val="24"/>
          <w:szCs w:val="24"/>
          <w:highlight w:val="none"/>
        </w:rPr>
      </w:pPr>
      <w:r>
        <w:rPr>
          <w:b/>
          <w:color w:val="auto"/>
          <w:sz w:val="24"/>
          <w:szCs w:val="24"/>
          <w:highlight w:val="none"/>
        </w:rPr>
        <w:t xml:space="preserve">附录1 </w:t>
      </w:r>
      <w:bookmarkStart w:id="1" w:name="_Hlk515531673"/>
      <w:r>
        <w:rPr>
          <w:b/>
          <w:color w:val="auto"/>
          <w:sz w:val="24"/>
          <w:highlight w:val="none"/>
        </w:rPr>
        <w:t>资格</w:t>
      </w:r>
      <w:r>
        <w:rPr>
          <w:b/>
          <w:color w:val="auto"/>
          <w:sz w:val="24"/>
          <w:szCs w:val="24"/>
          <w:highlight w:val="none"/>
        </w:rPr>
        <w:t>审查条件（</w:t>
      </w:r>
      <w:bookmarkStart w:id="2" w:name="_Hlk93741047"/>
      <w:r>
        <w:rPr>
          <w:b/>
          <w:color w:val="auto"/>
          <w:sz w:val="24"/>
          <w:szCs w:val="24"/>
          <w:highlight w:val="none"/>
        </w:rPr>
        <w:t>资质最低要求</w:t>
      </w:r>
      <w:bookmarkEnd w:id="2"/>
      <w:r>
        <w:rPr>
          <w:b/>
          <w:color w:val="auto"/>
          <w:sz w:val="24"/>
          <w:szCs w:val="24"/>
          <w:highlight w:val="none"/>
        </w:rPr>
        <w:t>）</w:t>
      </w:r>
      <w:bookmarkEnd w:id="1"/>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739C28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14:paraId="008C7F40">
            <w:pPr>
              <w:widowControl/>
              <w:spacing w:before="0" w:beforeAutospacing="0" w:after="0" w:afterAutospacing="0" w:line="240" w:lineRule="auto"/>
              <w:ind w:firstLine="0"/>
              <w:contextualSpacing/>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资质要求</w:t>
            </w:r>
          </w:p>
        </w:tc>
      </w:tr>
      <w:tr w14:paraId="6D5EA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6" w:hRule="atLeast"/>
          <w:jc w:val="center"/>
        </w:trPr>
        <w:tc>
          <w:tcPr>
            <w:tcW w:w="9286" w:type="dxa"/>
            <w:noWrap w:val="0"/>
            <w:vAlign w:val="center"/>
          </w:tcPr>
          <w:p w14:paraId="2295A86F">
            <w:pPr>
              <w:rPr>
                <w:color w:val="auto"/>
                <w:sz w:val="21"/>
                <w:szCs w:val="21"/>
                <w:highlight w:val="none"/>
              </w:rPr>
            </w:pPr>
            <w:bookmarkStart w:id="3" w:name="_Hlk93741073"/>
            <w:r>
              <w:rPr>
                <w:color w:val="auto"/>
                <w:sz w:val="21"/>
                <w:szCs w:val="21"/>
                <w:highlight w:val="none"/>
              </w:rPr>
              <w:t>1、</w:t>
            </w:r>
            <w:r>
              <w:rPr>
                <w:rFonts w:hint="eastAsia"/>
                <w:color w:val="auto"/>
                <w:sz w:val="21"/>
                <w:szCs w:val="21"/>
                <w:highlight w:val="none"/>
              </w:rPr>
              <w:t>投标人为中华人民共和国境内合法注册的独立法人或其他组织，具有有效的营业执照或依照《中华人民共和国民法典》规定取得的登记或批准文件</w:t>
            </w:r>
            <w:r>
              <w:rPr>
                <w:color w:val="auto"/>
                <w:sz w:val="21"/>
                <w:szCs w:val="21"/>
                <w:highlight w:val="none"/>
              </w:rPr>
              <w:t>；</w:t>
            </w:r>
          </w:p>
          <w:p w14:paraId="6032731B">
            <w:pPr>
              <w:rPr>
                <w:rFonts w:hint="eastAsia" w:eastAsia="宋体"/>
                <w:color w:val="auto"/>
                <w:sz w:val="21"/>
                <w:szCs w:val="21"/>
                <w:highlight w:val="none"/>
                <w:lang w:eastAsia="zh-CN"/>
              </w:rPr>
            </w:pPr>
            <w:r>
              <w:rPr>
                <w:color w:val="auto"/>
                <w:sz w:val="21"/>
                <w:szCs w:val="21"/>
                <w:highlight w:val="none"/>
              </w:rPr>
              <w:t>2、具备会计师事务所执业证书</w:t>
            </w:r>
            <w:r>
              <w:rPr>
                <w:rFonts w:hint="eastAsia" w:eastAsia="宋体"/>
                <w:color w:val="auto"/>
                <w:sz w:val="21"/>
                <w:szCs w:val="21"/>
                <w:highlight w:val="none"/>
                <w:lang w:eastAsia="zh-CN"/>
              </w:rPr>
              <w:t>。</w:t>
            </w:r>
          </w:p>
          <w:p w14:paraId="37EFF8C5">
            <w:pPr>
              <w:rPr>
                <w:rFonts w:hint="default" w:eastAsia="宋体"/>
                <w:color w:val="auto"/>
                <w:sz w:val="21"/>
                <w:szCs w:val="21"/>
                <w:highlight w:val="none"/>
                <w:lang w:val="en-US" w:eastAsia="zh-CN"/>
              </w:rPr>
            </w:pPr>
            <w:r>
              <w:rPr>
                <w:rFonts w:hint="eastAsia" w:ascii="Times New Roman" w:eastAsia="宋体"/>
                <w:strike w:val="0"/>
                <w:dstrike w:val="0"/>
                <w:color w:val="auto"/>
                <w:sz w:val="21"/>
                <w:szCs w:val="21"/>
                <w:highlight w:val="none"/>
                <w:lang w:val="en-US" w:eastAsia="zh-CN"/>
              </w:rPr>
              <w:t>3、分公司（分所）参与投标的需提供总公司（总所）针对本次投标的唯一授权书。</w:t>
            </w:r>
          </w:p>
        </w:tc>
      </w:tr>
      <w:bookmarkEnd w:id="3"/>
    </w:tbl>
    <w:p w14:paraId="6F76F0FD">
      <w:pPr>
        <w:adjustRightInd w:val="0"/>
        <w:spacing w:line="400" w:lineRule="exact"/>
        <w:jc w:val="center"/>
        <w:rPr>
          <w:b/>
          <w:color w:val="auto"/>
          <w:sz w:val="24"/>
          <w:szCs w:val="24"/>
          <w:highlight w:val="none"/>
        </w:rPr>
      </w:pPr>
    </w:p>
    <w:p w14:paraId="2A6634D1">
      <w:pPr>
        <w:adjustRightInd w:val="0"/>
        <w:spacing w:line="400" w:lineRule="exact"/>
        <w:jc w:val="center"/>
        <w:rPr>
          <w:b/>
          <w:color w:val="auto"/>
          <w:sz w:val="24"/>
          <w:szCs w:val="24"/>
          <w:highlight w:val="none"/>
        </w:rPr>
      </w:pPr>
      <w:r>
        <w:rPr>
          <w:b/>
          <w:color w:val="auto"/>
          <w:sz w:val="24"/>
          <w:szCs w:val="24"/>
          <w:highlight w:val="none"/>
        </w:rPr>
        <w:t>附录2 资格审查条件（业绩最低要求）</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0A2A9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14:paraId="45BC5DB4">
            <w:pPr>
              <w:widowControl/>
              <w:spacing w:before="0" w:beforeAutospacing="0" w:after="0" w:afterAutospacing="0" w:line="240" w:lineRule="auto"/>
              <w:ind w:firstLine="0"/>
              <w:contextualSpacing/>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业绩要求</w:t>
            </w:r>
          </w:p>
        </w:tc>
      </w:tr>
      <w:tr w14:paraId="06999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4" w:hRule="atLeast"/>
          <w:jc w:val="center"/>
        </w:trPr>
        <w:tc>
          <w:tcPr>
            <w:tcW w:w="9286" w:type="dxa"/>
            <w:noWrap w:val="0"/>
            <w:vAlign w:val="center"/>
          </w:tcPr>
          <w:p w14:paraId="60F94201">
            <w:pPr>
              <w:rPr>
                <w:color w:val="auto"/>
                <w:sz w:val="21"/>
                <w:szCs w:val="21"/>
                <w:highlight w:val="none"/>
              </w:rPr>
            </w:pPr>
            <w:r>
              <w:rPr>
                <w:rFonts w:hint="eastAsia"/>
                <w:color w:val="auto"/>
                <w:sz w:val="21"/>
                <w:szCs w:val="21"/>
                <w:highlight w:val="none"/>
              </w:rPr>
              <w:t>近</w:t>
            </w:r>
            <w:r>
              <w:rPr>
                <w:rFonts w:hint="eastAsia" w:ascii="Times New Roman" w:eastAsia="宋体"/>
                <w:color w:val="auto"/>
                <w:sz w:val="21"/>
                <w:szCs w:val="21"/>
                <w:highlight w:val="none"/>
                <w:lang w:val="en-US" w:eastAsia="zh-CN"/>
              </w:rPr>
              <w:t>3</w:t>
            </w:r>
            <w:r>
              <w:rPr>
                <w:rFonts w:hint="eastAsia"/>
                <w:color w:val="auto"/>
                <w:sz w:val="21"/>
                <w:szCs w:val="21"/>
                <w:highlight w:val="none"/>
              </w:rPr>
              <w:t>年（</w:t>
            </w:r>
            <w:r>
              <w:rPr>
                <w:rFonts w:hint="eastAsia" w:eastAsia="宋体"/>
                <w:color w:val="auto"/>
                <w:sz w:val="21"/>
                <w:szCs w:val="21"/>
                <w:highlight w:val="none"/>
                <w:lang w:eastAsia="zh-CN"/>
              </w:rPr>
              <w:t>2023</w:t>
            </w:r>
            <w:r>
              <w:rPr>
                <w:rFonts w:hint="eastAsia"/>
                <w:color w:val="auto"/>
                <w:sz w:val="21"/>
                <w:szCs w:val="21"/>
                <w:highlight w:val="none"/>
              </w:rPr>
              <w:t>年</w:t>
            </w:r>
            <w:r>
              <w:rPr>
                <w:rFonts w:hint="eastAsia"/>
                <w:color w:val="auto"/>
                <w:sz w:val="21"/>
                <w:szCs w:val="21"/>
                <w:highlight w:val="none"/>
                <w:lang w:val="en-US" w:eastAsia="zh-CN"/>
              </w:rPr>
              <w:t>8月</w:t>
            </w:r>
            <w:r>
              <w:rPr>
                <w:rFonts w:hint="eastAsia"/>
                <w:color w:val="auto"/>
                <w:sz w:val="21"/>
                <w:szCs w:val="21"/>
                <w:highlight w:val="none"/>
              </w:rPr>
              <w:t>1日至投标截止时间，以合同</w:t>
            </w:r>
            <w:r>
              <w:rPr>
                <w:rFonts w:hint="eastAsia" w:ascii="Times New Roman" w:eastAsia="宋体"/>
                <w:color w:val="auto"/>
                <w:sz w:val="21"/>
                <w:szCs w:val="21"/>
                <w:highlight w:val="none"/>
                <w:lang w:val="en-US" w:eastAsia="zh-CN"/>
              </w:rPr>
              <w:t>协议书</w:t>
            </w:r>
            <w:r>
              <w:rPr>
                <w:rFonts w:hint="eastAsia"/>
                <w:color w:val="auto"/>
                <w:sz w:val="21"/>
                <w:szCs w:val="21"/>
                <w:highlight w:val="none"/>
              </w:rPr>
              <w:t>签订时间为准），至少</w:t>
            </w:r>
            <w:r>
              <w:rPr>
                <w:rFonts w:hint="eastAsia" w:ascii="Times New Roman" w:eastAsia="宋体"/>
                <w:color w:val="auto"/>
                <w:sz w:val="21"/>
                <w:szCs w:val="21"/>
                <w:highlight w:val="none"/>
                <w:lang w:val="en-US" w:eastAsia="zh-CN"/>
              </w:rPr>
              <w:t>具有</w:t>
            </w:r>
            <w:r>
              <w:rPr>
                <w:rFonts w:hint="eastAsia"/>
                <w:color w:val="auto"/>
                <w:sz w:val="21"/>
                <w:szCs w:val="21"/>
                <w:highlight w:val="none"/>
              </w:rPr>
              <w:t>1项企业内部控制体系建设咨询服务或内部控制监督评价</w:t>
            </w:r>
            <w:r>
              <w:rPr>
                <w:rFonts w:hint="eastAsia" w:ascii="Times New Roman" w:eastAsia="宋体"/>
                <w:color w:val="auto"/>
                <w:sz w:val="21"/>
                <w:szCs w:val="21"/>
                <w:highlight w:val="none"/>
                <w:lang w:val="en-US" w:eastAsia="zh-CN"/>
              </w:rPr>
              <w:t>项目的</w:t>
            </w:r>
            <w:r>
              <w:rPr>
                <w:rFonts w:hint="eastAsia"/>
                <w:color w:val="auto"/>
                <w:sz w:val="21"/>
                <w:szCs w:val="21"/>
                <w:highlight w:val="none"/>
              </w:rPr>
              <w:t>业绩。</w:t>
            </w:r>
          </w:p>
        </w:tc>
      </w:tr>
    </w:tbl>
    <w:p w14:paraId="53E31165">
      <w:pPr>
        <w:widowControl w:val="0"/>
        <w:jc w:val="both"/>
        <w:rPr>
          <w:rFonts w:ascii="Times New Roman" w:hAnsi="Times New Roman" w:eastAsia="宋体" w:cs="Times New Roman"/>
          <w:b/>
          <w:color w:val="auto"/>
          <w:kern w:val="2"/>
          <w:sz w:val="24"/>
          <w:szCs w:val="24"/>
          <w:highlight w:val="none"/>
          <w:lang w:val="en-US" w:eastAsia="zh-CN" w:bidi="ar-SA"/>
        </w:rPr>
      </w:pPr>
    </w:p>
    <w:p w14:paraId="10DCED7F">
      <w:pPr>
        <w:widowControl w:val="0"/>
        <w:jc w:val="both"/>
        <w:rPr>
          <w:rFonts w:ascii="Times New Roman" w:hAnsi="Times New Roman" w:eastAsia="宋体" w:cs="Times New Roman"/>
          <w:b/>
          <w:color w:val="auto"/>
          <w:kern w:val="2"/>
          <w:sz w:val="24"/>
          <w:szCs w:val="24"/>
          <w:highlight w:val="none"/>
          <w:lang w:val="en-US" w:eastAsia="zh-CN" w:bidi="ar-SA"/>
        </w:rPr>
      </w:pPr>
    </w:p>
    <w:p w14:paraId="31C8DD35">
      <w:pPr>
        <w:adjustRightInd w:val="0"/>
        <w:spacing w:line="400" w:lineRule="exact"/>
        <w:jc w:val="center"/>
        <w:rPr>
          <w:b/>
          <w:color w:val="auto"/>
          <w:sz w:val="24"/>
          <w:szCs w:val="24"/>
          <w:highlight w:val="none"/>
        </w:rPr>
      </w:pPr>
      <w:r>
        <w:rPr>
          <w:b/>
          <w:color w:val="auto"/>
          <w:sz w:val="24"/>
          <w:szCs w:val="24"/>
          <w:highlight w:val="none"/>
        </w:rPr>
        <w:t>附录3 资格审查条件（信誉最低要求）</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6B017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9286" w:type="dxa"/>
            <w:noWrap w:val="0"/>
            <w:vAlign w:val="center"/>
          </w:tcPr>
          <w:p w14:paraId="00180420">
            <w:pPr>
              <w:widowControl/>
              <w:spacing w:before="0" w:beforeAutospacing="0" w:after="0" w:afterAutospacing="0" w:line="240" w:lineRule="auto"/>
              <w:ind w:firstLine="0"/>
              <w:contextualSpacing/>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信誉要求</w:t>
            </w:r>
          </w:p>
        </w:tc>
      </w:tr>
      <w:tr w14:paraId="0DFE0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5" w:hRule="atLeast"/>
          <w:jc w:val="center"/>
        </w:trPr>
        <w:tc>
          <w:tcPr>
            <w:tcW w:w="9286" w:type="dxa"/>
            <w:noWrap w:val="0"/>
            <w:vAlign w:val="center"/>
          </w:tcPr>
          <w:p w14:paraId="2D83C3C9">
            <w:pPr>
              <w:ind w:firstLine="420" w:firstLineChars="200"/>
              <w:rPr>
                <w:color w:val="auto"/>
                <w:sz w:val="21"/>
                <w:szCs w:val="21"/>
                <w:highlight w:val="none"/>
              </w:rPr>
            </w:pPr>
            <w:r>
              <w:rPr>
                <w:rFonts w:hint="eastAsia"/>
                <w:color w:val="auto"/>
                <w:sz w:val="21"/>
                <w:szCs w:val="21"/>
                <w:highlight w:val="none"/>
              </w:rPr>
              <w:t>投标人在过去1年中（</w:t>
            </w:r>
            <w:r>
              <w:rPr>
                <w:rFonts w:hint="eastAsia" w:eastAsia="宋体"/>
                <w:color w:val="auto"/>
                <w:sz w:val="21"/>
                <w:szCs w:val="21"/>
                <w:highlight w:val="none"/>
                <w:lang w:eastAsia="zh-CN"/>
              </w:rPr>
              <w:t>2025</w:t>
            </w:r>
            <w:r>
              <w:rPr>
                <w:rFonts w:hint="eastAsia"/>
                <w:color w:val="auto"/>
                <w:sz w:val="21"/>
                <w:szCs w:val="21"/>
                <w:highlight w:val="none"/>
              </w:rPr>
              <w:t>年</w:t>
            </w:r>
            <w:r>
              <w:rPr>
                <w:rFonts w:hint="eastAsia"/>
                <w:color w:val="auto"/>
                <w:sz w:val="21"/>
                <w:szCs w:val="21"/>
                <w:highlight w:val="none"/>
                <w:lang w:val="en-US" w:eastAsia="zh-CN"/>
              </w:rPr>
              <w:t>8月</w:t>
            </w:r>
            <w:r>
              <w:rPr>
                <w:rFonts w:hint="eastAsia"/>
                <w:color w:val="auto"/>
                <w:sz w:val="21"/>
                <w:szCs w:val="21"/>
                <w:highlight w:val="none"/>
              </w:rPr>
              <w:t>1日至投标截止时间）不</w:t>
            </w:r>
            <w:r>
              <w:rPr>
                <w:rFonts w:hint="eastAsia" w:eastAsia="宋体"/>
                <w:color w:val="auto"/>
                <w:sz w:val="21"/>
                <w:szCs w:val="21"/>
                <w:highlight w:val="none"/>
                <w:lang w:eastAsia="zh-CN"/>
              </w:rPr>
              <w:t>曾在内</w:t>
            </w:r>
            <w:r>
              <w:rPr>
                <w:rFonts w:hint="eastAsia"/>
                <w:color w:val="auto"/>
                <w:sz w:val="21"/>
                <w:szCs w:val="21"/>
                <w:highlight w:val="none"/>
                <w:lang w:val="en-US" w:eastAsia="zh-CN"/>
              </w:rPr>
              <w:t>部</w:t>
            </w:r>
            <w:r>
              <w:rPr>
                <w:rFonts w:hint="eastAsia" w:eastAsia="宋体"/>
                <w:color w:val="auto"/>
                <w:sz w:val="21"/>
                <w:szCs w:val="21"/>
                <w:highlight w:val="none"/>
                <w:lang w:eastAsia="zh-CN"/>
              </w:rPr>
              <w:t>控</w:t>
            </w:r>
            <w:r>
              <w:rPr>
                <w:rFonts w:hint="eastAsia"/>
                <w:color w:val="auto"/>
                <w:sz w:val="21"/>
                <w:szCs w:val="21"/>
                <w:highlight w:val="none"/>
                <w:lang w:val="en-US" w:eastAsia="zh-CN"/>
              </w:rPr>
              <w:t>制</w:t>
            </w:r>
            <w:r>
              <w:rPr>
                <w:rFonts w:hint="eastAsia" w:eastAsia="宋体"/>
                <w:color w:val="auto"/>
                <w:sz w:val="21"/>
                <w:szCs w:val="21"/>
                <w:highlight w:val="none"/>
                <w:lang w:eastAsia="zh-CN"/>
              </w:rPr>
              <w:t>监督评价</w:t>
            </w:r>
            <w:r>
              <w:rPr>
                <w:rFonts w:hint="eastAsia"/>
                <w:color w:val="auto"/>
                <w:sz w:val="21"/>
                <w:szCs w:val="21"/>
                <w:highlight w:val="none"/>
                <w:lang w:val="en-US" w:eastAsia="zh-CN"/>
              </w:rPr>
              <w:t>或</w:t>
            </w:r>
            <w:r>
              <w:rPr>
                <w:rFonts w:hint="eastAsia"/>
                <w:color w:val="auto"/>
                <w:sz w:val="21"/>
                <w:szCs w:val="21"/>
                <w:highlight w:val="none"/>
              </w:rPr>
              <w:t>内部控制体系建设咨询服务</w:t>
            </w:r>
            <w:r>
              <w:rPr>
                <w:rFonts w:hint="eastAsia" w:eastAsia="宋体"/>
                <w:color w:val="auto"/>
                <w:sz w:val="21"/>
                <w:szCs w:val="21"/>
                <w:highlight w:val="none"/>
                <w:lang w:eastAsia="zh-CN"/>
              </w:rPr>
              <w:t>合</w:t>
            </w:r>
            <w:r>
              <w:rPr>
                <w:rFonts w:hint="eastAsia" w:ascii="Times New Roman" w:eastAsia="宋体"/>
                <w:color w:val="auto"/>
                <w:sz w:val="21"/>
                <w:szCs w:val="21"/>
                <w:highlight w:val="none"/>
                <w:lang w:val="en-US" w:eastAsia="zh-CN"/>
              </w:rPr>
              <w:t>同</w:t>
            </w:r>
            <w:r>
              <w:rPr>
                <w:color w:val="auto"/>
                <w:sz w:val="21"/>
                <w:szCs w:val="21"/>
                <w:highlight w:val="none"/>
              </w:rPr>
              <w:t>中违约而被驱逐或因投标人自身的原因而使</w:t>
            </w:r>
            <w:r>
              <w:rPr>
                <w:rFonts w:hint="eastAsia" w:eastAsia="宋体"/>
                <w:color w:val="auto"/>
                <w:sz w:val="21"/>
                <w:szCs w:val="21"/>
                <w:highlight w:val="none"/>
                <w:lang w:eastAsia="zh-CN"/>
              </w:rPr>
              <w:t>合</w:t>
            </w:r>
            <w:r>
              <w:rPr>
                <w:rFonts w:hint="eastAsia" w:ascii="Times New Roman" w:eastAsia="宋体"/>
                <w:color w:val="auto"/>
                <w:sz w:val="21"/>
                <w:szCs w:val="21"/>
                <w:highlight w:val="none"/>
                <w:lang w:val="en-US" w:eastAsia="zh-CN"/>
              </w:rPr>
              <w:t>同</w:t>
            </w:r>
            <w:r>
              <w:rPr>
                <w:color w:val="auto"/>
                <w:sz w:val="21"/>
                <w:szCs w:val="21"/>
                <w:highlight w:val="none"/>
              </w:rPr>
              <w:t>被解除</w:t>
            </w:r>
            <w:r>
              <w:rPr>
                <w:rFonts w:hint="eastAsia"/>
                <w:color w:val="auto"/>
                <w:sz w:val="21"/>
                <w:szCs w:val="21"/>
                <w:highlight w:val="none"/>
              </w:rPr>
              <w:t>。</w:t>
            </w:r>
          </w:p>
        </w:tc>
      </w:tr>
    </w:tbl>
    <w:p w14:paraId="4D2A5F41">
      <w:pPr>
        <w:adjustRightInd w:val="0"/>
        <w:spacing w:line="400" w:lineRule="exact"/>
        <w:jc w:val="center"/>
        <w:rPr>
          <w:b/>
          <w:color w:val="auto"/>
          <w:sz w:val="24"/>
          <w:szCs w:val="24"/>
          <w:highlight w:val="none"/>
        </w:rPr>
      </w:pPr>
    </w:p>
    <w:p w14:paraId="66DE70B4">
      <w:pPr>
        <w:adjustRightInd w:val="0"/>
        <w:spacing w:line="400" w:lineRule="exact"/>
        <w:jc w:val="center"/>
        <w:rPr>
          <w:b/>
          <w:color w:val="auto"/>
          <w:sz w:val="24"/>
          <w:szCs w:val="24"/>
          <w:highlight w:val="none"/>
        </w:rPr>
      </w:pPr>
      <w:r>
        <w:rPr>
          <w:b/>
          <w:color w:val="auto"/>
          <w:sz w:val="24"/>
          <w:szCs w:val="24"/>
          <w:highlight w:val="none"/>
        </w:rPr>
        <w:t>附录4 资格审查条件（</w:t>
      </w:r>
      <w:r>
        <w:rPr>
          <w:rFonts w:hint="eastAsia" w:ascii="宋体" w:hAnsi="宋体"/>
          <w:b/>
          <w:color w:val="auto"/>
          <w:sz w:val="24"/>
          <w:szCs w:val="24"/>
          <w:highlight w:val="none"/>
        </w:rPr>
        <w:t>项目负责人最低要求</w:t>
      </w:r>
      <w:r>
        <w:rPr>
          <w:b/>
          <w:color w:val="auto"/>
          <w:sz w:val="24"/>
          <w:szCs w:val="24"/>
          <w:highlight w:val="none"/>
        </w:rPr>
        <w:t>）</w:t>
      </w:r>
    </w:p>
    <w:tbl>
      <w:tblPr>
        <w:tblStyle w:val="7"/>
        <w:tblW w:w="494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77"/>
        <w:gridCol w:w="980"/>
        <w:gridCol w:w="5964"/>
      </w:tblGrid>
      <w:tr w14:paraId="363DD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877" w:type="pct"/>
            <w:noWrap w:val="0"/>
            <w:vAlign w:val="center"/>
          </w:tcPr>
          <w:p w14:paraId="073A0F50">
            <w:pPr>
              <w:widowControl/>
              <w:adjustRightInd w:val="0"/>
              <w:snapToGrid w:val="0"/>
              <w:spacing w:before="0" w:beforeAutospacing="0" w:after="0" w:afterAutospacing="0" w:line="240" w:lineRule="auto"/>
              <w:ind w:firstLine="0"/>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人员</w:t>
            </w:r>
          </w:p>
        </w:tc>
        <w:tc>
          <w:tcPr>
            <w:tcW w:w="582" w:type="pct"/>
            <w:noWrap w:val="0"/>
            <w:vAlign w:val="center"/>
          </w:tcPr>
          <w:p w14:paraId="3A26B803">
            <w:pPr>
              <w:widowControl/>
              <w:adjustRightInd w:val="0"/>
              <w:snapToGrid w:val="0"/>
              <w:spacing w:before="0" w:beforeAutospacing="0" w:after="0" w:afterAutospacing="0" w:line="240" w:lineRule="auto"/>
              <w:ind w:firstLine="0"/>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数量</w:t>
            </w:r>
          </w:p>
        </w:tc>
        <w:tc>
          <w:tcPr>
            <w:tcW w:w="3540" w:type="pct"/>
            <w:noWrap w:val="0"/>
            <w:vAlign w:val="center"/>
          </w:tcPr>
          <w:p w14:paraId="78FEE2AA">
            <w:pPr>
              <w:widowControl/>
              <w:adjustRightInd w:val="0"/>
              <w:snapToGrid w:val="0"/>
              <w:spacing w:before="0" w:beforeAutospacing="0" w:after="0" w:afterAutospacing="0" w:line="240" w:lineRule="auto"/>
              <w:ind w:firstLine="0"/>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资格要求</w:t>
            </w:r>
          </w:p>
        </w:tc>
      </w:tr>
      <w:tr w14:paraId="2A497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4" w:hRule="atLeast"/>
          <w:jc w:val="center"/>
        </w:trPr>
        <w:tc>
          <w:tcPr>
            <w:tcW w:w="877" w:type="pct"/>
            <w:noWrap w:val="0"/>
            <w:vAlign w:val="center"/>
          </w:tcPr>
          <w:p w14:paraId="77E04B88">
            <w:pPr>
              <w:adjustRightInd w:val="0"/>
              <w:snapToGrid w:val="0"/>
              <w:jc w:val="center"/>
              <w:rPr>
                <w:color w:val="auto"/>
                <w:sz w:val="21"/>
                <w:szCs w:val="21"/>
                <w:highlight w:val="none"/>
              </w:rPr>
            </w:pPr>
            <w:r>
              <w:rPr>
                <w:rFonts w:hint="eastAsia"/>
                <w:color w:val="auto"/>
                <w:sz w:val="21"/>
                <w:szCs w:val="21"/>
                <w:highlight w:val="none"/>
              </w:rPr>
              <w:t>项目负责人</w:t>
            </w:r>
          </w:p>
        </w:tc>
        <w:tc>
          <w:tcPr>
            <w:tcW w:w="582" w:type="pct"/>
            <w:noWrap w:val="0"/>
            <w:vAlign w:val="center"/>
          </w:tcPr>
          <w:p w14:paraId="062ACE9E">
            <w:pPr>
              <w:adjustRightInd w:val="0"/>
              <w:snapToGrid w:val="0"/>
              <w:jc w:val="center"/>
              <w:rPr>
                <w:color w:val="auto"/>
                <w:sz w:val="21"/>
                <w:szCs w:val="21"/>
                <w:highlight w:val="none"/>
              </w:rPr>
            </w:pPr>
            <w:r>
              <w:rPr>
                <w:color w:val="auto"/>
                <w:sz w:val="21"/>
                <w:szCs w:val="21"/>
                <w:highlight w:val="none"/>
              </w:rPr>
              <w:t>1</w:t>
            </w:r>
          </w:p>
        </w:tc>
        <w:tc>
          <w:tcPr>
            <w:tcW w:w="3540" w:type="pct"/>
            <w:noWrap w:val="0"/>
            <w:vAlign w:val="center"/>
          </w:tcPr>
          <w:p w14:paraId="4B433827">
            <w:pPr>
              <w:adjustRightInd w:val="0"/>
              <w:snapToGrid w:val="0"/>
              <w:rPr>
                <w:rFonts w:hint="eastAsia"/>
                <w:color w:val="auto"/>
                <w:sz w:val="21"/>
                <w:szCs w:val="21"/>
                <w:highlight w:val="none"/>
              </w:rPr>
            </w:pPr>
            <w:r>
              <w:rPr>
                <w:rFonts w:hint="eastAsia"/>
                <w:color w:val="auto"/>
                <w:sz w:val="21"/>
                <w:szCs w:val="21"/>
                <w:highlight w:val="none"/>
              </w:rPr>
              <w:t>注册会计师，且注册单位名称须与投标人名称一致。</w:t>
            </w:r>
          </w:p>
          <w:p w14:paraId="3F917FE4">
            <w:pPr>
              <w:adjustRightInd w:val="0"/>
              <w:snapToGrid w:val="0"/>
              <w:rPr>
                <w:color w:val="auto"/>
                <w:sz w:val="21"/>
                <w:szCs w:val="21"/>
                <w:highlight w:val="none"/>
              </w:rPr>
            </w:pPr>
            <w:r>
              <w:rPr>
                <w:rFonts w:hint="eastAsia"/>
                <w:color w:val="auto"/>
                <w:sz w:val="21"/>
                <w:szCs w:val="21"/>
                <w:highlight w:val="none"/>
              </w:rPr>
              <w:t>近</w:t>
            </w:r>
            <w:r>
              <w:rPr>
                <w:rFonts w:hint="eastAsia" w:ascii="Times New Roman" w:eastAsia="宋体"/>
                <w:color w:val="auto"/>
                <w:sz w:val="21"/>
                <w:szCs w:val="21"/>
                <w:highlight w:val="none"/>
                <w:lang w:val="en-US" w:eastAsia="zh-CN"/>
              </w:rPr>
              <w:t>3</w:t>
            </w:r>
            <w:r>
              <w:rPr>
                <w:rFonts w:hint="eastAsia"/>
                <w:color w:val="auto"/>
                <w:sz w:val="21"/>
                <w:szCs w:val="21"/>
                <w:highlight w:val="none"/>
              </w:rPr>
              <w:t>年（</w:t>
            </w:r>
            <w:r>
              <w:rPr>
                <w:rFonts w:hint="eastAsia" w:eastAsia="宋体"/>
                <w:color w:val="auto"/>
                <w:sz w:val="21"/>
                <w:szCs w:val="21"/>
                <w:highlight w:val="none"/>
                <w:lang w:eastAsia="zh-CN"/>
              </w:rPr>
              <w:t>2023</w:t>
            </w:r>
            <w:r>
              <w:rPr>
                <w:rFonts w:hint="eastAsia"/>
                <w:color w:val="auto"/>
                <w:sz w:val="21"/>
                <w:szCs w:val="21"/>
                <w:highlight w:val="none"/>
              </w:rPr>
              <w:t>年</w:t>
            </w:r>
            <w:r>
              <w:rPr>
                <w:rFonts w:hint="eastAsia"/>
                <w:color w:val="auto"/>
                <w:sz w:val="21"/>
                <w:szCs w:val="21"/>
                <w:highlight w:val="none"/>
                <w:lang w:val="en-US" w:eastAsia="zh-CN"/>
              </w:rPr>
              <w:t>8月</w:t>
            </w:r>
            <w:r>
              <w:rPr>
                <w:rFonts w:hint="eastAsia"/>
                <w:color w:val="auto"/>
                <w:sz w:val="21"/>
                <w:szCs w:val="21"/>
                <w:highlight w:val="none"/>
              </w:rPr>
              <w:t>1日至投标截止时间，以合同签订时间为准），至少担任过1项企业内部控制体系建设咨询服务或内部控制监督评价项目的项目负责人。</w:t>
            </w:r>
          </w:p>
        </w:tc>
      </w:tr>
    </w:tbl>
    <w:p w14:paraId="703E3C96">
      <w:pPr>
        <w:ind w:firstLine="420" w:firstLineChars="200"/>
        <w:rPr>
          <w:color w:val="auto"/>
          <w:sz w:val="21"/>
          <w:szCs w:val="21"/>
          <w:highlight w:val="none"/>
        </w:rPr>
      </w:pPr>
    </w:p>
    <w:p w14:paraId="6C42DBA8">
      <w:pPr>
        <w:jc w:val="center"/>
        <w:rPr>
          <w:rFonts w:hint="eastAsia" w:ascii="宋体" w:hAnsi="宋体"/>
          <w:b/>
          <w:color w:val="auto"/>
          <w:sz w:val="24"/>
          <w:szCs w:val="24"/>
          <w:highlight w:val="none"/>
        </w:rPr>
      </w:pPr>
      <w:r>
        <w:rPr>
          <w:color w:val="auto"/>
          <w:highlight w:val="none"/>
        </w:rPr>
        <w:tab/>
      </w:r>
      <w:r>
        <w:rPr>
          <w:rFonts w:hint="eastAsia" w:ascii="宋体" w:hAnsi="宋体"/>
          <w:b/>
          <w:color w:val="auto"/>
          <w:sz w:val="24"/>
          <w:szCs w:val="24"/>
          <w:highlight w:val="none"/>
        </w:rPr>
        <w:t>附录5  资格审查条件（其他人员最低要求）</w:t>
      </w:r>
    </w:p>
    <w:p w14:paraId="7BF1A433">
      <w:pPr>
        <w:jc w:val="center"/>
        <w:rPr>
          <w:rFonts w:hint="eastAsia" w:ascii="宋体" w:hAnsi="宋体"/>
          <w:b/>
          <w:color w:val="auto"/>
          <w:sz w:val="24"/>
          <w:szCs w:val="24"/>
          <w:highlight w:val="none"/>
        </w:rPr>
      </w:pPr>
    </w:p>
    <w:tbl>
      <w:tblPr>
        <w:tblStyle w:val="7"/>
        <w:tblW w:w="9209"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7"/>
        <w:gridCol w:w="1050"/>
        <w:gridCol w:w="6572"/>
      </w:tblGrid>
      <w:tr w14:paraId="2E608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587" w:type="dxa"/>
            <w:noWrap w:val="0"/>
            <w:vAlign w:val="center"/>
          </w:tcPr>
          <w:p w14:paraId="2231E2B2">
            <w:pPr>
              <w:jc w:val="center"/>
              <w:rPr>
                <w:rFonts w:hint="eastAsia" w:ascii="宋体" w:hAnsi="宋体"/>
                <w:color w:val="auto"/>
                <w:sz w:val="21"/>
                <w:szCs w:val="21"/>
                <w:highlight w:val="none"/>
              </w:rPr>
            </w:pPr>
            <w:r>
              <w:rPr>
                <w:rFonts w:hint="eastAsia" w:ascii="宋体" w:hAnsi="宋体"/>
                <w:color w:val="auto"/>
                <w:sz w:val="21"/>
                <w:szCs w:val="21"/>
                <w:highlight w:val="none"/>
              </w:rPr>
              <w:t>人员</w:t>
            </w:r>
          </w:p>
        </w:tc>
        <w:tc>
          <w:tcPr>
            <w:tcW w:w="1050" w:type="dxa"/>
            <w:noWrap w:val="0"/>
            <w:vAlign w:val="center"/>
          </w:tcPr>
          <w:p w14:paraId="301ADE38">
            <w:pPr>
              <w:jc w:val="center"/>
              <w:rPr>
                <w:rFonts w:hint="eastAsia" w:ascii="宋体" w:hAnsi="宋体"/>
                <w:color w:val="auto"/>
                <w:sz w:val="21"/>
                <w:szCs w:val="21"/>
                <w:highlight w:val="none"/>
              </w:rPr>
            </w:pPr>
            <w:r>
              <w:rPr>
                <w:rFonts w:hint="eastAsia" w:ascii="宋体" w:hAnsi="宋体"/>
                <w:color w:val="auto"/>
                <w:sz w:val="21"/>
                <w:szCs w:val="21"/>
                <w:highlight w:val="none"/>
              </w:rPr>
              <w:t>数量</w:t>
            </w:r>
          </w:p>
        </w:tc>
        <w:tc>
          <w:tcPr>
            <w:tcW w:w="6572" w:type="dxa"/>
            <w:noWrap w:val="0"/>
            <w:vAlign w:val="center"/>
          </w:tcPr>
          <w:p w14:paraId="2DEADBB5">
            <w:pPr>
              <w:jc w:val="center"/>
              <w:rPr>
                <w:rFonts w:hint="eastAsia" w:ascii="宋体" w:hAnsi="宋体"/>
                <w:color w:val="auto"/>
                <w:sz w:val="21"/>
                <w:szCs w:val="21"/>
                <w:highlight w:val="none"/>
              </w:rPr>
            </w:pPr>
            <w:r>
              <w:rPr>
                <w:rFonts w:hint="eastAsia" w:ascii="宋体" w:hAnsi="宋体"/>
                <w:color w:val="auto"/>
                <w:sz w:val="21"/>
                <w:szCs w:val="21"/>
                <w:highlight w:val="none"/>
              </w:rPr>
              <w:t>资格要求</w:t>
            </w:r>
          </w:p>
        </w:tc>
      </w:tr>
      <w:tr w14:paraId="53EC0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1587" w:type="dxa"/>
            <w:noWrap w:val="0"/>
            <w:vAlign w:val="center"/>
          </w:tcPr>
          <w:p w14:paraId="47518DB5">
            <w:pPr>
              <w:jc w:val="center"/>
              <w:rPr>
                <w:rFonts w:hint="eastAsia" w:ascii="宋体" w:hAnsi="宋体"/>
                <w:color w:val="auto"/>
                <w:sz w:val="21"/>
                <w:szCs w:val="21"/>
                <w:highlight w:val="none"/>
              </w:rPr>
            </w:pPr>
            <w:r>
              <w:rPr>
                <w:rFonts w:hint="eastAsia" w:ascii="宋体" w:hAnsi="宋体"/>
                <w:color w:val="auto"/>
                <w:sz w:val="21"/>
                <w:szCs w:val="21"/>
                <w:highlight w:val="none"/>
              </w:rPr>
              <w:t>其他人员</w:t>
            </w:r>
          </w:p>
        </w:tc>
        <w:tc>
          <w:tcPr>
            <w:tcW w:w="1050" w:type="dxa"/>
            <w:noWrap w:val="0"/>
            <w:vAlign w:val="center"/>
          </w:tcPr>
          <w:p w14:paraId="35D58A7A">
            <w:pPr>
              <w:jc w:val="center"/>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14</w:t>
            </w:r>
          </w:p>
        </w:tc>
        <w:tc>
          <w:tcPr>
            <w:tcW w:w="6572" w:type="dxa"/>
            <w:noWrap w:val="0"/>
            <w:vAlign w:val="center"/>
          </w:tcPr>
          <w:p w14:paraId="3D6B78A9">
            <w:pPr>
              <w:spacing w:line="360" w:lineRule="exact"/>
              <w:rPr>
                <w:rFonts w:hint="eastAsia"/>
                <w:color w:val="auto"/>
                <w:sz w:val="21"/>
                <w:szCs w:val="21"/>
                <w:highlight w:val="none"/>
                <w:lang w:eastAsia="zh-CN"/>
              </w:rPr>
            </w:pPr>
            <w:r>
              <w:rPr>
                <w:rFonts w:hint="eastAsia" w:ascii="宋体" w:hAnsi="宋体"/>
                <w:color w:val="auto"/>
                <w:sz w:val="21"/>
                <w:szCs w:val="21"/>
                <w:highlight w:val="none"/>
              </w:rPr>
              <w:t>其中</w:t>
            </w:r>
            <w:r>
              <w:rPr>
                <w:rFonts w:hint="eastAsia" w:ascii="宋体" w:hAnsi="宋体"/>
                <w:color w:val="auto"/>
                <w:sz w:val="21"/>
                <w:szCs w:val="21"/>
                <w:highlight w:val="none"/>
                <w:lang w:val="en-US" w:eastAsia="zh-CN"/>
              </w:rPr>
              <w:t>至少4人持有</w:t>
            </w:r>
            <w:r>
              <w:rPr>
                <w:rFonts w:hint="eastAsia" w:ascii="宋体" w:hAnsi="宋体"/>
                <w:color w:val="auto"/>
                <w:sz w:val="21"/>
                <w:szCs w:val="21"/>
                <w:highlight w:val="none"/>
              </w:rPr>
              <w:t>高级会计师</w:t>
            </w:r>
            <w:r>
              <w:rPr>
                <w:rFonts w:hint="eastAsia" w:ascii="宋体" w:hAnsi="宋体"/>
                <w:color w:val="auto"/>
                <w:sz w:val="21"/>
                <w:szCs w:val="21"/>
                <w:highlight w:val="none"/>
                <w:lang w:val="en-US" w:eastAsia="zh-CN"/>
              </w:rPr>
              <w:t>证书</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至少4人持有</w:t>
            </w:r>
            <w:r>
              <w:rPr>
                <w:rFonts w:hint="eastAsia" w:ascii="宋体" w:hAnsi="宋体"/>
                <w:color w:val="auto"/>
                <w:sz w:val="21"/>
                <w:szCs w:val="21"/>
                <w:highlight w:val="none"/>
              </w:rPr>
              <w:t>注册会计师</w:t>
            </w:r>
            <w:r>
              <w:rPr>
                <w:rFonts w:hint="eastAsia" w:ascii="宋体" w:hAnsi="宋体"/>
                <w:color w:val="auto"/>
                <w:sz w:val="21"/>
                <w:szCs w:val="21"/>
                <w:highlight w:val="none"/>
                <w:lang w:val="en-US" w:eastAsia="zh-CN"/>
              </w:rPr>
              <w:t>证书</w:t>
            </w:r>
            <w:r>
              <w:rPr>
                <w:rFonts w:hint="eastAsia" w:ascii="宋体" w:hAnsi="宋体"/>
                <w:color w:val="auto"/>
                <w:sz w:val="21"/>
                <w:szCs w:val="21"/>
                <w:highlight w:val="none"/>
                <w:lang w:eastAsia="zh-CN"/>
              </w:rPr>
              <w:t>（</w:t>
            </w:r>
            <w:r>
              <w:rPr>
                <w:rFonts w:hint="eastAsia"/>
                <w:color w:val="auto"/>
                <w:sz w:val="21"/>
                <w:szCs w:val="21"/>
                <w:highlight w:val="none"/>
              </w:rPr>
              <w:t>注册单位名称须与投标人名称一致</w:t>
            </w:r>
            <w:r>
              <w:rPr>
                <w:rFonts w:hint="eastAsia" w:eastAsia="宋体"/>
                <w:color w:val="auto"/>
                <w:sz w:val="21"/>
                <w:szCs w:val="21"/>
                <w:highlight w:val="none"/>
                <w:lang w:eastAsia="zh-CN"/>
              </w:rPr>
              <w:t>）。</w:t>
            </w:r>
          </w:p>
          <w:p w14:paraId="6DE6BBE1">
            <w:pPr>
              <w:spacing w:line="360" w:lineRule="exact"/>
              <w:rPr>
                <w:rFonts w:hint="eastAsia"/>
                <w:color w:val="auto"/>
                <w:sz w:val="21"/>
                <w:szCs w:val="21"/>
                <w:highlight w:val="none"/>
                <w:lang w:eastAsia="zh-CN"/>
              </w:rPr>
            </w:pPr>
            <w:r>
              <w:rPr>
                <w:rFonts w:hint="eastAsia" w:eastAsia="宋体"/>
                <w:color w:val="auto"/>
                <w:sz w:val="21"/>
                <w:szCs w:val="21"/>
                <w:highlight w:val="none"/>
                <w:lang w:eastAsia="zh-CN"/>
              </w:rPr>
              <w:t>注：</w:t>
            </w:r>
            <w:bookmarkStart w:id="4" w:name="OLE_LINK2"/>
            <w:r>
              <w:rPr>
                <w:rFonts w:hint="eastAsia" w:eastAsia="宋体"/>
                <w:color w:val="auto"/>
                <w:sz w:val="21"/>
                <w:szCs w:val="21"/>
                <w:highlight w:val="none"/>
                <w:lang w:eastAsia="zh-CN"/>
              </w:rPr>
              <w:t>高级会计师、注册会计师</w:t>
            </w:r>
            <w:bookmarkEnd w:id="4"/>
            <w:r>
              <w:rPr>
                <w:rFonts w:hint="eastAsia" w:ascii="Times New Roman" w:eastAsia="宋体"/>
                <w:color w:val="auto"/>
                <w:sz w:val="21"/>
                <w:szCs w:val="21"/>
                <w:highlight w:val="none"/>
                <w:lang w:val="en-US" w:eastAsia="zh-CN"/>
              </w:rPr>
              <w:t>不</w:t>
            </w:r>
            <w:r>
              <w:rPr>
                <w:rFonts w:hint="eastAsia" w:eastAsia="宋体"/>
                <w:color w:val="auto"/>
                <w:sz w:val="21"/>
                <w:szCs w:val="21"/>
                <w:highlight w:val="none"/>
                <w:lang w:eastAsia="zh-CN"/>
              </w:rPr>
              <w:t>可为同一人。</w:t>
            </w:r>
          </w:p>
        </w:tc>
      </w:tr>
    </w:tbl>
    <w:p w14:paraId="790D7883">
      <w:pPr>
        <w:tabs>
          <w:tab w:val="left" w:pos="4080"/>
        </w:tabs>
        <w:spacing w:line="360" w:lineRule="auto"/>
        <w:rPr>
          <w:color w:val="auto"/>
          <w:highlight w:val="none"/>
        </w:rPr>
      </w:pPr>
    </w:p>
    <w:p w14:paraId="56B1CF1D">
      <w:pPr>
        <w:spacing w:line="360" w:lineRule="auto"/>
        <w:outlineLvl w:val="2"/>
        <w:rPr>
          <w:b/>
          <w:color w:val="auto"/>
          <w:sz w:val="24"/>
          <w:highlight w:val="none"/>
        </w:rPr>
      </w:pPr>
      <w:r>
        <w:rPr>
          <w:color w:val="auto"/>
          <w:highlight w:val="none"/>
        </w:rPr>
        <w:br w:type="page"/>
      </w:r>
      <w:r>
        <w:rPr>
          <w:b/>
          <w:color w:val="auto"/>
          <w:sz w:val="24"/>
          <w:highlight w:val="none"/>
        </w:rPr>
        <w:t>附件2：评标办法</w:t>
      </w:r>
    </w:p>
    <w:p w14:paraId="608B0139">
      <w:pPr>
        <w:keepNext/>
        <w:keepLines/>
        <w:widowControl w:val="0"/>
        <w:spacing w:before="0" w:after="0" w:line="276" w:lineRule="auto"/>
        <w:jc w:val="center"/>
        <w:outlineLvl w:val="9"/>
        <w:rPr>
          <w:rFonts w:ascii="Times New Roman" w:hAnsi="Times New Roman" w:eastAsia="宋体" w:cs="Times New Roman"/>
          <w:b/>
          <w:bCs/>
          <w:color w:val="auto"/>
          <w:kern w:val="28"/>
          <w:sz w:val="30"/>
          <w:szCs w:val="30"/>
          <w:highlight w:val="none"/>
          <w:lang w:val="en-US" w:eastAsia="zh-CN" w:bidi="ar-SA"/>
        </w:rPr>
      </w:pPr>
      <w:bookmarkStart w:id="5" w:name="_Hlk93740604"/>
      <w:bookmarkStart w:id="6" w:name="_Toc509659998"/>
      <w:bookmarkStart w:id="7" w:name="_Toc514238202"/>
      <w:bookmarkStart w:id="8" w:name="_Toc459307890"/>
      <w:bookmarkStart w:id="9" w:name="_Toc502992691"/>
      <w:bookmarkStart w:id="10" w:name="_Toc509660966"/>
      <w:bookmarkStart w:id="11" w:name="_Toc450319202"/>
      <w:bookmarkStart w:id="12" w:name="_Toc445222503"/>
      <w:bookmarkStart w:id="13" w:name="_Toc444088432"/>
      <w:bookmarkStart w:id="14" w:name="_Toc444271617"/>
      <w:bookmarkStart w:id="15" w:name="_Toc445382083"/>
      <w:r>
        <w:rPr>
          <w:rFonts w:ascii="Times New Roman" w:hAnsi="Times New Roman" w:eastAsia="宋体" w:cs="Times New Roman"/>
          <w:b/>
          <w:bCs/>
          <w:color w:val="auto"/>
          <w:kern w:val="28"/>
          <w:sz w:val="30"/>
          <w:szCs w:val="30"/>
          <w:highlight w:val="none"/>
          <w:lang w:val="en-US" w:eastAsia="zh-CN" w:bidi="ar-SA"/>
        </w:rPr>
        <w:t>评标办法</w:t>
      </w:r>
      <w:bookmarkEnd w:id="5"/>
      <w:r>
        <w:rPr>
          <w:rFonts w:ascii="Times New Roman" w:hAnsi="Times New Roman" w:eastAsia="宋体" w:cs="Times New Roman"/>
          <w:b/>
          <w:bCs/>
          <w:color w:val="auto"/>
          <w:kern w:val="28"/>
          <w:sz w:val="30"/>
          <w:szCs w:val="30"/>
          <w:highlight w:val="none"/>
          <w:lang w:val="en-US" w:eastAsia="zh-CN" w:bidi="ar-SA"/>
        </w:rPr>
        <w:t>（综合评估法）</w:t>
      </w:r>
      <w:bookmarkEnd w:id="6"/>
      <w:bookmarkEnd w:id="7"/>
      <w:bookmarkEnd w:id="8"/>
      <w:bookmarkEnd w:id="9"/>
      <w:bookmarkEnd w:id="10"/>
      <w:bookmarkEnd w:id="11"/>
    </w:p>
    <w:bookmarkEnd w:id="12"/>
    <w:bookmarkEnd w:id="13"/>
    <w:bookmarkEnd w:id="14"/>
    <w:bookmarkEnd w:id="15"/>
    <w:p w14:paraId="70D056D3">
      <w:pPr>
        <w:keepNext/>
        <w:keepLines/>
        <w:widowControl w:val="0"/>
        <w:spacing w:before="0" w:after="0" w:line="276" w:lineRule="auto"/>
        <w:jc w:val="both"/>
        <w:outlineLvl w:val="9"/>
        <w:rPr>
          <w:rFonts w:ascii="Times New Roman" w:hAnsi="Times New Roman" w:eastAsia="宋体" w:cs="Times New Roman"/>
          <w:b/>
          <w:bCs/>
          <w:color w:val="auto"/>
          <w:kern w:val="28"/>
          <w:sz w:val="24"/>
          <w:szCs w:val="30"/>
          <w:highlight w:val="none"/>
          <w:lang w:val="en-US" w:eastAsia="zh-CN" w:bidi="ar-SA"/>
        </w:rPr>
      </w:pPr>
      <w:r>
        <w:rPr>
          <w:rFonts w:ascii="Times New Roman" w:hAnsi="Times New Roman" w:eastAsia="宋体" w:cs="Times New Roman"/>
          <w:b/>
          <w:bCs/>
          <w:color w:val="auto"/>
          <w:kern w:val="28"/>
          <w:sz w:val="24"/>
          <w:szCs w:val="30"/>
          <w:highlight w:val="none"/>
          <w:lang w:val="en-US" w:eastAsia="zh-CN" w:bidi="ar-SA"/>
        </w:rPr>
        <w:t>评标办法前附表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34"/>
        <w:gridCol w:w="7250"/>
      </w:tblGrid>
      <w:tr w14:paraId="7B397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959" w:type="dxa"/>
            <w:noWrap w:val="0"/>
            <w:vAlign w:val="center"/>
          </w:tcPr>
          <w:p w14:paraId="4A08B811">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条款号</w:t>
            </w:r>
          </w:p>
        </w:tc>
        <w:tc>
          <w:tcPr>
            <w:tcW w:w="1134" w:type="dxa"/>
            <w:noWrap w:val="0"/>
            <w:vAlign w:val="center"/>
          </w:tcPr>
          <w:p w14:paraId="14A55CB8">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条款名称</w:t>
            </w:r>
          </w:p>
        </w:tc>
        <w:tc>
          <w:tcPr>
            <w:tcW w:w="7250" w:type="dxa"/>
            <w:noWrap w:val="0"/>
            <w:vAlign w:val="center"/>
          </w:tcPr>
          <w:p w14:paraId="7081DBA9">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评审因素与评审标准</w:t>
            </w:r>
          </w:p>
        </w:tc>
      </w:tr>
      <w:tr w14:paraId="4EF70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959" w:type="dxa"/>
            <w:noWrap w:val="0"/>
            <w:vAlign w:val="center"/>
          </w:tcPr>
          <w:p w14:paraId="10EF12F9">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1</w:t>
            </w:r>
          </w:p>
        </w:tc>
        <w:tc>
          <w:tcPr>
            <w:tcW w:w="1134" w:type="dxa"/>
            <w:noWrap w:val="0"/>
            <w:vAlign w:val="center"/>
          </w:tcPr>
          <w:p w14:paraId="3BAD4459">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评标办法</w:t>
            </w:r>
          </w:p>
        </w:tc>
        <w:tc>
          <w:tcPr>
            <w:tcW w:w="7250" w:type="dxa"/>
            <w:noWrap w:val="0"/>
            <w:vAlign w:val="center"/>
          </w:tcPr>
          <w:p w14:paraId="00D9ADEE">
            <w:pPr>
              <w:snapToGrid w:val="0"/>
              <w:spacing w:line="320" w:lineRule="exact"/>
              <w:ind w:firstLine="404" w:firstLineChars="200"/>
              <w:jc w:val="left"/>
              <w:rPr>
                <w:rFonts w:ascii="宋体" w:hAnsi="宋体"/>
                <w:color w:val="auto"/>
                <w:spacing w:val="-4"/>
                <w:sz w:val="21"/>
                <w:szCs w:val="21"/>
                <w:highlight w:val="none"/>
              </w:rPr>
            </w:pPr>
            <w:r>
              <w:rPr>
                <w:rFonts w:ascii="宋体" w:hAnsi="宋体"/>
                <w:color w:val="auto"/>
                <w:spacing w:val="-4"/>
                <w:sz w:val="21"/>
                <w:szCs w:val="21"/>
                <w:highlight w:val="none"/>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623E0857">
            <w:pPr>
              <w:snapToGrid w:val="0"/>
              <w:spacing w:line="320" w:lineRule="exact"/>
              <w:ind w:left="273" w:leftChars="97" w:hanging="1"/>
              <w:jc w:val="left"/>
              <w:rPr>
                <w:rFonts w:ascii="宋体" w:hAnsi="宋体"/>
                <w:color w:val="auto"/>
                <w:spacing w:val="-4"/>
                <w:sz w:val="21"/>
                <w:szCs w:val="21"/>
                <w:highlight w:val="none"/>
              </w:rPr>
            </w:pPr>
            <w:r>
              <w:rPr>
                <w:rFonts w:ascii="宋体" w:hAnsi="宋体"/>
                <w:color w:val="auto"/>
                <w:spacing w:val="-4"/>
                <w:sz w:val="21"/>
                <w:szCs w:val="21"/>
                <w:highlight w:val="none"/>
              </w:rPr>
              <w:t>（1）评标价低的投标人优先；</w:t>
            </w:r>
          </w:p>
          <w:p w14:paraId="6FD82502">
            <w:pPr>
              <w:snapToGrid w:val="0"/>
              <w:spacing w:line="320" w:lineRule="exact"/>
              <w:ind w:left="273" w:leftChars="97" w:hanging="1"/>
              <w:jc w:val="left"/>
              <w:rPr>
                <w:rFonts w:ascii="宋体" w:hAnsi="宋体"/>
                <w:color w:val="auto"/>
                <w:spacing w:val="-4"/>
                <w:sz w:val="21"/>
                <w:szCs w:val="21"/>
                <w:highlight w:val="none"/>
              </w:rPr>
            </w:pPr>
            <w:r>
              <w:rPr>
                <w:rFonts w:ascii="宋体" w:hAnsi="宋体"/>
                <w:color w:val="auto"/>
                <w:spacing w:val="-4"/>
                <w:sz w:val="21"/>
                <w:szCs w:val="21"/>
                <w:highlight w:val="none"/>
              </w:rPr>
              <w:t>（2）实施方案得分较高的投标人优先；</w:t>
            </w:r>
          </w:p>
          <w:p w14:paraId="210E1D62">
            <w:pPr>
              <w:snapToGrid w:val="0"/>
              <w:spacing w:line="320" w:lineRule="exact"/>
              <w:ind w:firstLine="272"/>
              <w:jc w:val="left"/>
              <w:rPr>
                <w:rFonts w:hint="eastAsia" w:ascii="宋体" w:hAnsi="宋体"/>
                <w:color w:val="auto"/>
                <w:sz w:val="21"/>
                <w:szCs w:val="21"/>
                <w:highlight w:val="none"/>
              </w:rPr>
            </w:pPr>
            <w:r>
              <w:rPr>
                <w:rFonts w:ascii="宋体" w:hAnsi="宋体"/>
                <w:color w:val="auto"/>
                <w:spacing w:val="-4"/>
                <w:sz w:val="21"/>
                <w:szCs w:val="21"/>
                <w:highlight w:val="none"/>
              </w:rPr>
              <w:t>（3）投标人满足资格审查条件（业绩最低</w:t>
            </w:r>
            <w:r>
              <w:rPr>
                <w:rFonts w:hint="eastAsia" w:ascii="宋体" w:hAnsi="宋体"/>
                <w:color w:val="auto"/>
                <w:spacing w:val="-4"/>
                <w:sz w:val="21"/>
                <w:szCs w:val="21"/>
                <w:highlight w:val="none"/>
              </w:rPr>
              <w:t>要求</w:t>
            </w:r>
            <w:r>
              <w:rPr>
                <w:rFonts w:ascii="宋体" w:hAnsi="宋体"/>
                <w:color w:val="auto"/>
                <w:spacing w:val="-4"/>
                <w:sz w:val="21"/>
                <w:szCs w:val="21"/>
                <w:highlight w:val="none"/>
              </w:rPr>
              <w:t>）的业绩金额累计较高的优先。</w:t>
            </w:r>
          </w:p>
        </w:tc>
      </w:tr>
      <w:tr w14:paraId="495F8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959" w:type="dxa"/>
            <w:noWrap w:val="0"/>
            <w:vAlign w:val="center"/>
          </w:tcPr>
          <w:p w14:paraId="72EB8585">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2.1.1</w:t>
            </w:r>
          </w:p>
          <w:p w14:paraId="656E5FF6">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2.1.3</w:t>
            </w:r>
          </w:p>
        </w:tc>
        <w:tc>
          <w:tcPr>
            <w:tcW w:w="1134" w:type="dxa"/>
            <w:noWrap w:val="0"/>
            <w:vAlign w:val="center"/>
          </w:tcPr>
          <w:p w14:paraId="21B23130">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形式评审与响应性评审标准</w:t>
            </w:r>
          </w:p>
        </w:tc>
        <w:tc>
          <w:tcPr>
            <w:tcW w:w="7250" w:type="dxa"/>
            <w:noWrap w:val="0"/>
            <w:vAlign w:val="top"/>
          </w:tcPr>
          <w:p w14:paraId="1D263678">
            <w:pPr>
              <w:tabs>
                <w:tab w:val="left" w:pos="3060"/>
              </w:tabs>
              <w:snapToGrid w:val="0"/>
              <w:spacing w:line="320" w:lineRule="exact"/>
              <w:rPr>
                <w:rFonts w:ascii="宋体" w:hAnsi="宋体"/>
                <w:b/>
                <w:color w:val="auto"/>
                <w:sz w:val="21"/>
                <w:szCs w:val="21"/>
                <w:highlight w:val="none"/>
              </w:rPr>
            </w:pPr>
            <w:r>
              <w:rPr>
                <w:rFonts w:ascii="宋体" w:hAnsi="宋体"/>
                <w:b/>
                <w:color w:val="auto"/>
                <w:sz w:val="21"/>
                <w:szCs w:val="21"/>
                <w:highlight w:val="none"/>
              </w:rPr>
              <w:t>第一个信封（商务文件）评审标准：</w:t>
            </w:r>
          </w:p>
          <w:p w14:paraId="77EB75AE">
            <w:pPr>
              <w:tabs>
                <w:tab w:val="left" w:pos="3060"/>
              </w:tabs>
              <w:snapToGrid w:val="0"/>
              <w:spacing w:line="320" w:lineRule="exact"/>
              <w:ind w:firstLine="210" w:firstLineChars="100"/>
              <w:rPr>
                <w:rFonts w:ascii="宋体" w:hAnsi="宋体"/>
                <w:bCs/>
                <w:color w:val="auto"/>
                <w:sz w:val="21"/>
                <w:szCs w:val="21"/>
                <w:highlight w:val="none"/>
              </w:rPr>
            </w:pPr>
            <w:r>
              <w:rPr>
                <w:rFonts w:ascii="宋体" w:hAnsi="宋体"/>
                <w:bCs/>
                <w:color w:val="auto"/>
                <w:sz w:val="21"/>
                <w:szCs w:val="21"/>
                <w:highlight w:val="none"/>
              </w:rPr>
              <w:t>（1）投标文件按照招标文件规定的格式、内容填写，字迹清晰可辨：</w:t>
            </w:r>
          </w:p>
          <w:p w14:paraId="4E7F02B3">
            <w:pPr>
              <w:tabs>
                <w:tab w:val="left" w:pos="3060"/>
              </w:tabs>
              <w:snapToGrid w:val="0"/>
              <w:spacing w:line="320" w:lineRule="exact"/>
              <w:ind w:firstLine="210" w:firstLineChars="100"/>
              <w:rPr>
                <w:rFonts w:ascii="宋体" w:hAnsi="宋体"/>
                <w:bCs/>
                <w:color w:val="auto"/>
                <w:sz w:val="21"/>
                <w:szCs w:val="21"/>
                <w:highlight w:val="none"/>
              </w:rPr>
            </w:pPr>
            <w:r>
              <w:rPr>
                <w:rFonts w:ascii="宋体" w:hAnsi="宋体"/>
                <w:bCs/>
                <w:color w:val="auto"/>
                <w:sz w:val="21"/>
                <w:szCs w:val="21"/>
                <w:highlight w:val="none"/>
              </w:rPr>
              <w:t>a.投标函按招标文件规定填报了项目名称</w:t>
            </w:r>
            <w:r>
              <w:rPr>
                <w:rFonts w:hint="eastAsia" w:ascii="宋体" w:hAnsi="宋体"/>
                <w:bCs/>
                <w:color w:val="auto"/>
                <w:sz w:val="21"/>
                <w:szCs w:val="21"/>
                <w:highlight w:val="none"/>
              </w:rPr>
              <w:t>、</w:t>
            </w:r>
            <w:r>
              <w:rPr>
                <w:rFonts w:ascii="宋体" w:hAnsi="宋体"/>
                <w:bCs/>
                <w:color w:val="auto"/>
                <w:sz w:val="21"/>
                <w:szCs w:val="21"/>
                <w:highlight w:val="none"/>
              </w:rPr>
              <w:t>补遗书编号（如有）、质量要求、服务期限</w:t>
            </w:r>
            <w:r>
              <w:rPr>
                <w:rFonts w:hint="eastAsia" w:ascii="宋体" w:hAnsi="宋体"/>
                <w:bCs/>
                <w:color w:val="auto"/>
                <w:sz w:val="21"/>
                <w:szCs w:val="21"/>
                <w:highlight w:val="none"/>
              </w:rPr>
              <w:t>、</w:t>
            </w:r>
            <w:r>
              <w:rPr>
                <w:rFonts w:ascii="宋体" w:hAnsi="宋体"/>
                <w:color w:val="auto"/>
                <w:sz w:val="21"/>
                <w:szCs w:val="21"/>
                <w:highlight w:val="none"/>
              </w:rPr>
              <w:t>项目负责人</w:t>
            </w:r>
            <w:r>
              <w:rPr>
                <w:rFonts w:hint="eastAsia" w:ascii="宋体" w:hAnsi="宋体"/>
                <w:color w:val="auto"/>
                <w:sz w:val="21"/>
                <w:szCs w:val="21"/>
                <w:highlight w:val="none"/>
              </w:rPr>
              <w:t>信息</w:t>
            </w:r>
            <w:r>
              <w:rPr>
                <w:rFonts w:ascii="宋体" w:hAnsi="宋体"/>
                <w:bCs/>
                <w:color w:val="auto"/>
                <w:sz w:val="21"/>
                <w:szCs w:val="21"/>
                <w:highlight w:val="none"/>
              </w:rPr>
              <w:t>；</w:t>
            </w:r>
          </w:p>
          <w:p w14:paraId="73F8A389">
            <w:pPr>
              <w:tabs>
                <w:tab w:val="left" w:pos="3060"/>
              </w:tabs>
              <w:snapToGrid w:val="0"/>
              <w:spacing w:line="320" w:lineRule="exact"/>
              <w:ind w:firstLine="210" w:firstLineChars="100"/>
              <w:rPr>
                <w:rFonts w:ascii="宋体" w:hAnsi="宋体"/>
                <w:bCs/>
                <w:color w:val="auto"/>
                <w:sz w:val="21"/>
                <w:szCs w:val="21"/>
                <w:highlight w:val="none"/>
              </w:rPr>
            </w:pPr>
            <w:r>
              <w:rPr>
                <w:rFonts w:ascii="宋体" w:hAnsi="宋体"/>
                <w:bCs/>
                <w:color w:val="auto"/>
                <w:sz w:val="21"/>
                <w:szCs w:val="21"/>
                <w:highlight w:val="none"/>
              </w:rPr>
              <w:t>b.投标文件组成齐全完整，内容均按规定填写。</w:t>
            </w:r>
          </w:p>
          <w:p w14:paraId="5E740016">
            <w:pPr>
              <w:tabs>
                <w:tab w:val="left" w:pos="3060"/>
              </w:tabs>
              <w:snapToGrid w:val="0"/>
              <w:spacing w:line="320" w:lineRule="exact"/>
              <w:ind w:firstLine="210" w:firstLineChars="100"/>
              <w:rPr>
                <w:rFonts w:ascii="宋体" w:hAnsi="宋体"/>
                <w:bCs/>
                <w:color w:val="auto"/>
                <w:sz w:val="21"/>
                <w:szCs w:val="21"/>
                <w:highlight w:val="none"/>
              </w:rPr>
            </w:pPr>
            <w:r>
              <w:rPr>
                <w:rFonts w:ascii="宋体" w:hAnsi="宋体"/>
                <w:bCs/>
                <w:color w:val="auto"/>
                <w:sz w:val="21"/>
                <w:szCs w:val="21"/>
                <w:highlight w:val="none"/>
              </w:rPr>
              <w:t>（2）投标文件上法定代表人或其授权代理人的签字、投标人的单位章盖章齐全，符合招标文件规定。</w:t>
            </w:r>
          </w:p>
          <w:p w14:paraId="2185AA2F">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（3）投标人按照招标文件的规定提供了投标保证金，并符合投标人须知前附表3.4.1项的相关规定。</w:t>
            </w:r>
          </w:p>
          <w:p w14:paraId="014A712B">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（4）投标人法定代表人授权委托代理人签署投标文件的，须提交授权委托书，</w:t>
            </w:r>
            <w:r>
              <w:rPr>
                <w:rFonts w:hint="eastAsia" w:ascii="宋体" w:hAnsi="宋体" w:cs="宋体"/>
                <w:color w:val="auto"/>
                <w:sz w:val="21"/>
                <w:szCs w:val="21"/>
                <w:highlight w:val="none"/>
              </w:rPr>
              <w:t>授权委托书符合招标文件规定</w:t>
            </w:r>
            <w:r>
              <w:rPr>
                <w:rFonts w:ascii="宋体" w:hAnsi="宋体"/>
                <w:color w:val="auto"/>
                <w:sz w:val="21"/>
                <w:szCs w:val="21"/>
                <w:highlight w:val="none"/>
              </w:rPr>
              <w:t>。</w:t>
            </w:r>
          </w:p>
          <w:p w14:paraId="37AA9257">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（5）投标人法定代表人亲自签署投标文件的，提供了法定代表人身份证明，并符合招标文件的规定。</w:t>
            </w:r>
          </w:p>
          <w:p w14:paraId="54F5FB21">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（6）投标人</w:t>
            </w:r>
            <w:r>
              <w:rPr>
                <w:rFonts w:hint="eastAsia" w:ascii="宋体" w:hAnsi="宋体"/>
                <w:color w:val="auto"/>
                <w:sz w:val="21"/>
                <w:szCs w:val="21"/>
                <w:highlight w:val="none"/>
              </w:rPr>
              <w:t>未</w:t>
            </w:r>
            <w:r>
              <w:rPr>
                <w:rFonts w:ascii="宋体" w:hAnsi="宋体"/>
                <w:color w:val="auto"/>
                <w:sz w:val="21"/>
                <w:szCs w:val="21"/>
                <w:highlight w:val="none"/>
              </w:rPr>
              <w:t>以联合体形式投标。</w:t>
            </w:r>
          </w:p>
          <w:p w14:paraId="566A02B8">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（7）投标人</w:t>
            </w:r>
            <w:r>
              <w:rPr>
                <w:rFonts w:hint="eastAsia" w:ascii="宋体" w:hAnsi="宋体"/>
                <w:color w:val="auto"/>
                <w:sz w:val="21"/>
                <w:szCs w:val="21"/>
                <w:highlight w:val="none"/>
                <w:lang w:val="en-US" w:eastAsia="zh-CN"/>
              </w:rPr>
              <w:t>未对本项目提出分包</w:t>
            </w:r>
            <w:r>
              <w:rPr>
                <w:rFonts w:ascii="宋体" w:hAnsi="宋体"/>
                <w:color w:val="auto"/>
                <w:sz w:val="21"/>
                <w:szCs w:val="21"/>
                <w:highlight w:val="none"/>
              </w:rPr>
              <w:t>计划。</w:t>
            </w:r>
          </w:p>
          <w:p w14:paraId="44C47856">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（8）</w:t>
            </w:r>
            <w:r>
              <w:rPr>
                <w:rFonts w:hint="eastAsia" w:ascii="宋体" w:hAnsi="宋体"/>
                <w:color w:val="auto"/>
                <w:sz w:val="21"/>
                <w:szCs w:val="21"/>
                <w:highlight w:val="none"/>
              </w:rPr>
              <w:t>同一投标人未提交两个以上不同的投标文件</w:t>
            </w:r>
            <w:r>
              <w:rPr>
                <w:rFonts w:ascii="宋体" w:hAnsi="宋体"/>
                <w:color w:val="auto"/>
                <w:sz w:val="21"/>
                <w:szCs w:val="21"/>
                <w:highlight w:val="none"/>
              </w:rPr>
              <w:t>。</w:t>
            </w:r>
          </w:p>
          <w:p w14:paraId="58A9126E">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（9）投标文件中未出现有关投标报价的内容。</w:t>
            </w:r>
          </w:p>
          <w:p w14:paraId="23DB59B5">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（10）投标文件载明的招标项目完成期限未超过招标文件规定。</w:t>
            </w:r>
          </w:p>
          <w:p w14:paraId="4D573234">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（11）投标文件对招标文件的实质性要求和条件作出响应。</w:t>
            </w:r>
          </w:p>
          <w:p w14:paraId="25107EE4">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（12）权利义务符合招标文件规定：</w:t>
            </w:r>
          </w:p>
          <w:p w14:paraId="3F942BAB">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a.投标人应接受招标文件规定的风险划分原则，未提出新的风险划分办法；</w:t>
            </w:r>
          </w:p>
          <w:p w14:paraId="31CEA2D4">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b.投标人未增加发包人的责任范围，或减少投标人义务；</w:t>
            </w:r>
          </w:p>
          <w:p w14:paraId="11F90026">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c.投标人未提出不同的支付办法；</w:t>
            </w:r>
          </w:p>
          <w:p w14:paraId="18F18459">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d.投标人对合同纠纷、事故处理办法未提出异议；</w:t>
            </w:r>
          </w:p>
          <w:p w14:paraId="312D427D">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e.投标人在投标活动中无欺诈行为；</w:t>
            </w:r>
          </w:p>
          <w:p w14:paraId="1C50EEFD">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f.投标人未对合同条款有重要保留。</w:t>
            </w:r>
          </w:p>
          <w:p w14:paraId="6BADF6A3">
            <w:pPr>
              <w:shd w:val="clear"/>
              <w:tabs>
                <w:tab w:val="left" w:pos="3060"/>
              </w:tabs>
              <w:snapToGrid w:val="0"/>
              <w:spacing w:line="320" w:lineRule="exact"/>
              <w:rPr>
                <w:rFonts w:hint="eastAsia" w:ascii="宋体" w:hAnsi="宋体" w:cs="宋体"/>
                <w:color w:val="auto"/>
                <w:sz w:val="21"/>
                <w:szCs w:val="21"/>
                <w:highlight w:val="none"/>
              </w:rPr>
            </w:pPr>
            <w:r>
              <w:rPr>
                <w:rFonts w:hint="eastAsia" w:ascii="宋体" w:hAnsi="宋体" w:cs="宋体"/>
                <w:b/>
                <w:bCs/>
                <w:color w:val="auto"/>
                <w:sz w:val="21"/>
                <w:szCs w:val="21"/>
                <w:highlight w:val="none"/>
              </w:rPr>
              <w:t>第一个信封（</w:t>
            </w:r>
            <w:r>
              <w:rPr>
                <w:rFonts w:hint="eastAsia" w:ascii="宋体" w:hAnsi="宋体" w:cs="宋体"/>
                <w:b/>
                <w:bCs/>
                <w:color w:val="auto"/>
                <w:sz w:val="21"/>
                <w:szCs w:val="21"/>
                <w:highlight w:val="none"/>
                <w:lang w:val="en-US" w:eastAsia="zh-CN"/>
              </w:rPr>
              <w:t>实施方案</w:t>
            </w:r>
            <w:r>
              <w:rPr>
                <w:rFonts w:hint="eastAsia" w:ascii="宋体" w:hAnsi="宋体" w:cs="宋体"/>
                <w:b/>
                <w:bCs/>
                <w:color w:val="auto"/>
                <w:sz w:val="21"/>
                <w:szCs w:val="21"/>
                <w:highlight w:val="none"/>
              </w:rPr>
              <w:t>）评审标准（暗标部分）:</w:t>
            </w:r>
          </w:p>
          <w:p w14:paraId="2A972239">
            <w:pPr>
              <w:keepNext w:val="0"/>
              <w:keepLines w:val="0"/>
              <w:pageBreakBefore w:val="0"/>
              <w:widowControl w:val="0"/>
              <w:shd w:val="clear"/>
              <w:tabs>
                <w:tab w:val="left" w:pos="3060"/>
              </w:tabs>
              <w:kinsoku/>
              <w:wordWrap/>
              <w:overflowPunct/>
              <w:topLinePunct w:val="0"/>
              <w:bidi w:val="0"/>
              <w:snapToGrid w:val="0"/>
              <w:spacing w:line="320" w:lineRule="exact"/>
              <w:textAlignment w:val="auto"/>
              <w:rPr>
                <w:rFonts w:ascii="宋体" w:hAnsi="宋体"/>
                <w:b/>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实施方案</w:t>
            </w:r>
            <w:r>
              <w:rPr>
                <w:rFonts w:hint="eastAsia" w:ascii="宋体" w:hAnsi="宋体" w:cs="宋体"/>
                <w:color w:val="auto"/>
                <w:sz w:val="21"/>
                <w:szCs w:val="21"/>
                <w:highlight w:val="none"/>
              </w:rPr>
              <w:t>（暗标）编制符合招标文件第二章“投标人须知”第10.</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款的规定。</w:t>
            </w:r>
          </w:p>
          <w:p w14:paraId="3E5BBFE4">
            <w:pPr>
              <w:tabs>
                <w:tab w:val="left" w:pos="3060"/>
              </w:tabs>
              <w:snapToGrid w:val="0"/>
              <w:spacing w:line="320" w:lineRule="exact"/>
              <w:rPr>
                <w:rFonts w:ascii="宋体" w:hAnsi="宋体"/>
                <w:b/>
                <w:color w:val="auto"/>
                <w:sz w:val="21"/>
                <w:szCs w:val="21"/>
                <w:highlight w:val="none"/>
              </w:rPr>
            </w:pPr>
            <w:r>
              <w:rPr>
                <w:rFonts w:ascii="宋体" w:hAnsi="宋体"/>
                <w:b/>
                <w:color w:val="auto"/>
                <w:sz w:val="21"/>
                <w:szCs w:val="21"/>
                <w:highlight w:val="none"/>
              </w:rPr>
              <w:t>第二个信封（报价文件）评审标准：</w:t>
            </w:r>
          </w:p>
          <w:p w14:paraId="369D4BDF">
            <w:pPr>
              <w:tabs>
                <w:tab w:val="left" w:pos="3060"/>
              </w:tabs>
              <w:snapToGrid w:val="0"/>
              <w:spacing w:line="320" w:lineRule="exact"/>
              <w:ind w:firstLine="205" w:firstLineChars="98"/>
              <w:rPr>
                <w:rFonts w:ascii="宋体" w:hAnsi="宋体"/>
                <w:bCs/>
                <w:color w:val="auto"/>
                <w:sz w:val="21"/>
                <w:szCs w:val="21"/>
                <w:highlight w:val="none"/>
              </w:rPr>
            </w:pPr>
            <w:r>
              <w:rPr>
                <w:rFonts w:ascii="宋体" w:hAnsi="宋体"/>
                <w:bCs/>
                <w:color w:val="auto"/>
                <w:sz w:val="21"/>
                <w:szCs w:val="21"/>
                <w:highlight w:val="none"/>
              </w:rPr>
              <w:t>（1）投标文件按照招标文件规定的格式、内容填写，字迹清晰可辨，内容齐全完整。</w:t>
            </w:r>
          </w:p>
          <w:p w14:paraId="4257D3BA">
            <w:pPr>
              <w:tabs>
                <w:tab w:val="left" w:pos="3060"/>
              </w:tabs>
              <w:snapToGrid w:val="0"/>
              <w:spacing w:line="320" w:lineRule="exact"/>
              <w:ind w:firstLine="205" w:firstLineChars="98"/>
              <w:rPr>
                <w:rFonts w:ascii="宋体" w:hAnsi="宋体"/>
                <w:bCs/>
                <w:color w:val="auto"/>
                <w:sz w:val="21"/>
                <w:szCs w:val="21"/>
                <w:highlight w:val="none"/>
              </w:rPr>
            </w:pPr>
            <w:r>
              <w:rPr>
                <w:rFonts w:ascii="宋体" w:hAnsi="宋体"/>
                <w:bCs/>
                <w:color w:val="auto"/>
                <w:sz w:val="21"/>
                <w:szCs w:val="21"/>
                <w:highlight w:val="none"/>
              </w:rPr>
              <w:t>a. 投标函按招标文件规定填报了项目名称</w:t>
            </w:r>
            <w:r>
              <w:rPr>
                <w:rFonts w:hint="eastAsia" w:ascii="宋体" w:hAnsi="宋体"/>
                <w:bCs/>
                <w:color w:val="auto"/>
                <w:sz w:val="21"/>
                <w:szCs w:val="21"/>
                <w:highlight w:val="none"/>
              </w:rPr>
              <w:t>、</w:t>
            </w:r>
            <w:r>
              <w:rPr>
                <w:rFonts w:ascii="宋体" w:hAnsi="宋体"/>
                <w:bCs/>
                <w:color w:val="auto"/>
                <w:sz w:val="21"/>
                <w:szCs w:val="21"/>
                <w:highlight w:val="none"/>
              </w:rPr>
              <w:t>补遗书编号（如有）、投标</w:t>
            </w:r>
            <w:r>
              <w:rPr>
                <w:rFonts w:hint="eastAsia" w:ascii="宋体" w:hAnsi="宋体"/>
                <w:bCs/>
                <w:color w:val="auto"/>
                <w:sz w:val="21"/>
                <w:szCs w:val="21"/>
                <w:highlight w:val="none"/>
                <w:lang w:val="en-US" w:eastAsia="zh-CN"/>
              </w:rPr>
              <w:t>总</w:t>
            </w:r>
            <w:r>
              <w:rPr>
                <w:rFonts w:hint="eastAsia" w:ascii="宋体" w:hAnsi="宋体"/>
                <w:bCs/>
                <w:color w:val="auto"/>
                <w:sz w:val="21"/>
                <w:szCs w:val="21"/>
                <w:highlight w:val="none"/>
              </w:rPr>
              <w:t>报</w:t>
            </w:r>
            <w:r>
              <w:rPr>
                <w:rFonts w:ascii="宋体" w:hAnsi="宋体"/>
                <w:bCs/>
                <w:color w:val="auto"/>
                <w:sz w:val="21"/>
                <w:szCs w:val="21"/>
                <w:highlight w:val="none"/>
              </w:rPr>
              <w:t>价（包括大写金额和小写金额）；</w:t>
            </w:r>
          </w:p>
          <w:p w14:paraId="5961333F">
            <w:pPr>
              <w:tabs>
                <w:tab w:val="left" w:pos="3060"/>
              </w:tabs>
              <w:snapToGrid w:val="0"/>
              <w:spacing w:line="320" w:lineRule="exact"/>
              <w:ind w:firstLine="205" w:firstLineChars="98"/>
              <w:rPr>
                <w:rFonts w:ascii="宋体" w:hAnsi="宋体"/>
                <w:bCs/>
                <w:color w:val="auto"/>
                <w:sz w:val="21"/>
                <w:szCs w:val="21"/>
                <w:highlight w:val="none"/>
              </w:rPr>
            </w:pPr>
            <w:r>
              <w:rPr>
                <w:rFonts w:ascii="宋体" w:hAnsi="宋体"/>
                <w:bCs/>
                <w:color w:val="auto"/>
                <w:sz w:val="21"/>
                <w:szCs w:val="21"/>
                <w:highlight w:val="none"/>
              </w:rPr>
              <w:t>b．投标文件组成齐全完整，内容均按规定填写。</w:t>
            </w:r>
          </w:p>
          <w:p w14:paraId="6A5A5FA5">
            <w:pPr>
              <w:tabs>
                <w:tab w:val="left" w:pos="3060"/>
              </w:tabs>
              <w:snapToGrid w:val="0"/>
              <w:spacing w:line="320" w:lineRule="exact"/>
              <w:ind w:firstLine="205" w:firstLineChars="98"/>
              <w:rPr>
                <w:rFonts w:ascii="宋体" w:hAnsi="宋体"/>
                <w:bCs/>
                <w:color w:val="auto"/>
                <w:sz w:val="21"/>
                <w:szCs w:val="21"/>
                <w:highlight w:val="none"/>
              </w:rPr>
            </w:pPr>
            <w:r>
              <w:rPr>
                <w:rFonts w:ascii="宋体" w:hAnsi="宋体"/>
                <w:bCs/>
                <w:color w:val="auto"/>
                <w:sz w:val="21"/>
                <w:szCs w:val="21"/>
                <w:highlight w:val="none"/>
              </w:rPr>
              <w:t>（2）投标文件上法定代表人或其授权代理人的签字、投标人的单位章盖章齐全，符合招标文件规定。</w:t>
            </w:r>
          </w:p>
          <w:p w14:paraId="059F9487">
            <w:pPr>
              <w:tabs>
                <w:tab w:val="left" w:pos="3060"/>
              </w:tabs>
              <w:snapToGrid w:val="0"/>
              <w:spacing w:line="320" w:lineRule="exact"/>
              <w:ind w:firstLine="205" w:firstLineChars="98"/>
              <w:rPr>
                <w:rFonts w:ascii="宋体" w:hAnsi="宋体"/>
                <w:bCs/>
                <w:color w:val="auto"/>
                <w:sz w:val="21"/>
                <w:szCs w:val="21"/>
                <w:highlight w:val="none"/>
              </w:rPr>
            </w:pPr>
            <w:r>
              <w:rPr>
                <w:rFonts w:ascii="宋体" w:hAnsi="宋体"/>
                <w:bCs/>
                <w:color w:val="auto"/>
                <w:sz w:val="21"/>
                <w:szCs w:val="21"/>
                <w:highlight w:val="none"/>
              </w:rPr>
              <w:t>（3）投标</w:t>
            </w:r>
            <w:r>
              <w:rPr>
                <w:rFonts w:hint="eastAsia" w:ascii="宋体" w:hAnsi="宋体"/>
                <w:bCs/>
                <w:color w:val="auto"/>
                <w:sz w:val="21"/>
                <w:szCs w:val="21"/>
                <w:highlight w:val="none"/>
                <w:lang w:val="en-US" w:eastAsia="zh-CN"/>
              </w:rPr>
              <w:t>总</w:t>
            </w:r>
            <w:r>
              <w:rPr>
                <w:rFonts w:ascii="宋体" w:hAnsi="宋体"/>
                <w:bCs/>
                <w:color w:val="auto"/>
                <w:sz w:val="21"/>
                <w:szCs w:val="21"/>
                <w:highlight w:val="none"/>
              </w:rPr>
              <w:t>报价未超过招标文件设定的最高投标限价。</w:t>
            </w:r>
          </w:p>
          <w:p w14:paraId="4838D2B9">
            <w:pPr>
              <w:tabs>
                <w:tab w:val="left" w:pos="3060"/>
              </w:tabs>
              <w:snapToGrid w:val="0"/>
              <w:spacing w:line="320" w:lineRule="exact"/>
              <w:ind w:firstLine="205" w:firstLineChars="98"/>
              <w:rPr>
                <w:rFonts w:ascii="宋体" w:hAnsi="宋体"/>
                <w:bCs/>
                <w:color w:val="auto"/>
                <w:sz w:val="21"/>
                <w:szCs w:val="21"/>
                <w:highlight w:val="none"/>
              </w:rPr>
            </w:pPr>
            <w:r>
              <w:rPr>
                <w:rFonts w:ascii="宋体" w:hAnsi="宋体"/>
                <w:bCs/>
                <w:color w:val="auto"/>
                <w:sz w:val="21"/>
                <w:szCs w:val="21"/>
                <w:highlight w:val="none"/>
              </w:rPr>
              <w:t>（4）投标</w:t>
            </w:r>
            <w:r>
              <w:rPr>
                <w:rFonts w:hint="eastAsia" w:ascii="宋体" w:hAnsi="宋体"/>
                <w:bCs/>
                <w:color w:val="auto"/>
                <w:sz w:val="21"/>
                <w:szCs w:val="21"/>
                <w:highlight w:val="none"/>
                <w:lang w:val="en-US" w:eastAsia="zh-CN"/>
              </w:rPr>
              <w:t>总</w:t>
            </w:r>
            <w:r>
              <w:rPr>
                <w:rFonts w:ascii="宋体" w:hAnsi="宋体"/>
                <w:bCs/>
                <w:color w:val="auto"/>
                <w:sz w:val="21"/>
                <w:szCs w:val="21"/>
                <w:highlight w:val="none"/>
              </w:rPr>
              <w:t>报价的大写金额能够确定具体数值。</w:t>
            </w:r>
          </w:p>
          <w:p w14:paraId="26BD6F0E">
            <w:pPr>
              <w:tabs>
                <w:tab w:val="left" w:pos="3060"/>
              </w:tabs>
              <w:snapToGrid w:val="0"/>
              <w:spacing w:line="320" w:lineRule="exact"/>
              <w:ind w:firstLine="205" w:firstLineChars="98"/>
              <w:rPr>
                <w:color w:val="auto"/>
                <w:highlight w:val="none"/>
              </w:rPr>
            </w:pPr>
            <w:r>
              <w:rPr>
                <w:rFonts w:ascii="宋体" w:hAnsi="宋体"/>
                <w:bCs/>
                <w:color w:val="auto"/>
                <w:sz w:val="21"/>
                <w:szCs w:val="21"/>
                <w:highlight w:val="none"/>
              </w:rPr>
              <w:t>（5）同一投标人未提交两个以上不同的投标报价。</w:t>
            </w:r>
          </w:p>
        </w:tc>
      </w:tr>
      <w:tr w14:paraId="74135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4205C25C">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2.1.2</w:t>
            </w:r>
          </w:p>
        </w:tc>
        <w:tc>
          <w:tcPr>
            <w:tcW w:w="1134" w:type="dxa"/>
            <w:noWrap w:val="0"/>
            <w:vAlign w:val="center"/>
          </w:tcPr>
          <w:p w14:paraId="16413EF6">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资格评审标准</w:t>
            </w:r>
          </w:p>
        </w:tc>
        <w:tc>
          <w:tcPr>
            <w:tcW w:w="7250" w:type="dxa"/>
            <w:noWrap w:val="0"/>
            <w:vAlign w:val="top"/>
          </w:tcPr>
          <w:p w14:paraId="241FBCB4">
            <w:pPr>
              <w:tabs>
                <w:tab w:val="left" w:pos="3060"/>
              </w:tabs>
              <w:snapToGrid w:val="0"/>
              <w:spacing w:line="320" w:lineRule="exact"/>
              <w:rPr>
                <w:rFonts w:ascii="宋体" w:hAnsi="宋体"/>
                <w:color w:val="auto"/>
                <w:sz w:val="21"/>
                <w:szCs w:val="21"/>
                <w:highlight w:val="none"/>
              </w:rPr>
            </w:pPr>
            <w:r>
              <w:rPr>
                <w:rFonts w:ascii="宋体" w:hAnsi="宋体"/>
                <w:color w:val="auto"/>
                <w:sz w:val="21"/>
                <w:szCs w:val="21"/>
                <w:highlight w:val="none"/>
              </w:rPr>
              <w:t>（1）投标人</w:t>
            </w:r>
            <w:r>
              <w:rPr>
                <w:rFonts w:hint="eastAsia"/>
                <w:color w:val="auto"/>
                <w:sz w:val="21"/>
                <w:szCs w:val="21"/>
                <w:highlight w:val="none"/>
              </w:rPr>
              <w:t>具有有效的营业执照或依照《中华人民共和国民法典》规定取得的登记或批准文件</w:t>
            </w:r>
            <w:r>
              <w:rPr>
                <w:rFonts w:ascii="宋体" w:hAnsi="宋体"/>
                <w:color w:val="auto"/>
                <w:sz w:val="21"/>
                <w:szCs w:val="21"/>
                <w:highlight w:val="none"/>
              </w:rPr>
              <w:t>、资质证书和基本账户开户许可证（或基本存款账户信息）；</w:t>
            </w:r>
          </w:p>
          <w:p w14:paraId="3FC03DD9">
            <w:pPr>
              <w:tabs>
                <w:tab w:val="left" w:pos="3060"/>
              </w:tabs>
              <w:snapToGrid w:val="0"/>
              <w:spacing w:line="320" w:lineRule="exact"/>
              <w:rPr>
                <w:rFonts w:ascii="宋体" w:hAnsi="宋体"/>
                <w:color w:val="auto"/>
                <w:sz w:val="21"/>
                <w:szCs w:val="21"/>
                <w:highlight w:val="none"/>
              </w:rPr>
            </w:pPr>
            <w:r>
              <w:rPr>
                <w:rFonts w:ascii="宋体" w:hAnsi="宋体"/>
                <w:color w:val="auto"/>
                <w:sz w:val="21"/>
                <w:szCs w:val="21"/>
                <w:highlight w:val="none"/>
              </w:rPr>
              <w:t>（2）投标人的资质等级符合招标文件规定；</w:t>
            </w:r>
          </w:p>
          <w:p w14:paraId="57D0BDB1">
            <w:pPr>
              <w:tabs>
                <w:tab w:val="left" w:pos="3060"/>
              </w:tabs>
              <w:snapToGrid w:val="0"/>
              <w:spacing w:line="320" w:lineRule="exact"/>
              <w:rPr>
                <w:rFonts w:ascii="宋体" w:hAnsi="宋体"/>
                <w:color w:val="auto"/>
                <w:sz w:val="21"/>
                <w:szCs w:val="21"/>
                <w:highlight w:val="none"/>
              </w:rPr>
            </w:pPr>
            <w:r>
              <w:rPr>
                <w:rFonts w:ascii="宋体" w:hAnsi="宋体"/>
                <w:color w:val="auto"/>
                <w:sz w:val="21"/>
                <w:szCs w:val="21"/>
                <w:highlight w:val="none"/>
              </w:rPr>
              <w:t>（3）投标人的类似项目业绩符合招标文件规定；</w:t>
            </w:r>
          </w:p>
          <w:p w14:paraId="27F1C4C0">
            <w:pPr>
              <w:tabs>
                <w:tab w:val="left" w:pos="3060"/>
              </w:tabs>
              <w:snapToGrid w:val="0"/>
              <w:spacing w:line="320" w:lineRule="exact"/>
              <w:rPr>
                <w:rFonts w:ascii="宋体" w:hAnsi="宋体"/>
                <w:color w:val="auto"/>
                <w:sz w:val="21"/>
                <w:szCs w:val="21"/>
                <w:highlight w:val="none"/>
              </w:rPr>
            </w:pPr>
            <w:r>
              <w:rPr>
                <w:rFonts w:ascii="宋体" w:hAnsi="宋体"/>
                <w:color w:val="auto"/>
                <w:sz w:val="21"/>
                <w:szCs w:val="21"/>
                <w:highlight w:val="none"/>
              </w:rPr>
              <w:t>（4）投标人的信誉符合招标文件规定；</w:t>
            </w:r>
          </w:p>
          <w:p w14:paraId="369A0C78">
            <w:pPr>
              <w:tabs>
                <w:tab w:val="left" w:pos="3060"/>
              </w:tabs>
              <w:snapToGrid w:val="0"/>
              <w:spacing w:line="320" w:lineRule="exact"/>
              <w:rPr>
                <w:rFonts w:hint="eastAsia" w:ascii="宋体" w:hAnsi="宋体"/>
                <w:color w:val="auto"/>
                <w:sz w:val="21"/>
                <w:szCs w:val="21"/>
                <w:highlight w:val="none"/>
              </w:rPr>
            </w:pPr>
            <w:r>
              <w:rPr>
                <w:rFonts w:ascii="宋体" w:hAnsi="宋体"/>
                <w:color w:val="auto"/>
                <w:sz w:val="21"/>
                <w:szCs w:val="21"/>
                <w:highlight w:val="none"/>
              </w:rPr>
              <w:t>（5）</w:t>
            </w:r>
            <w:r>
              <w:rPr>
                <w:rFonts w:hint="eastAsia" w:ascii="宋体" w:hAnsi="宋体"/>
                <w:color w:val="auto"/>
                <w:sz w:val="21"/>
                <w:szCs w:val="21"/>
                <w:highlight w:val="none"/>
              </w:rPr>
              <w:t>投标人的项目负责人资格符合招标文件规定；</w:t>
            </w:r>
          </w:p>
          <w:p w14:paraId="2D9B7D67">
            <w:pPr>
              <w:tabs>
                <w:tab w:val="left" w:pos="3060"/>
              </w:tabs>
              <w:snapToGrid w:val="0"/>
              <w:spacing w:line="320" w:lineRule="exact"/>
              <w:rPr>
                <w:rFonts w:ascii="宋体" w:hAnsi="宋体"/>
                <w:color w:val="auto"/>
                <w:sz w:val="21"/>
                <w:szCs w:val="21"/>
                <w:highlight w:val="none"/>
              </w:rPr>
            </w:pPr>
            <w:r>
              <w:rPr>
                <w:rFonts w:hint="eastAsia" w:ascii="宋体" w:hAnsi="宋体"/>
                <w:color w:val="auto"/>
                <w:sz w:val="21"/>
                <w:szCs w:val="21"/>
                <w:highlight w:val="none"/>
              </w:rPr>
              <w:t>（6）投标人的其他人员资格符合招标文件规定；</w:t>
            </w:r>
          </w:p>
          <w:p w14:paraId="04076198">
            <w:pPr>
              <w:tabs>
                <w:tab w:val="left" w:pos="3060"/>
              </w:tabs>
              <w:snapToGrid w:val="0"/>
              <w:spacing w:line="320" w:lineRule="exact"/>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rPr>
              <w:t>7</w:t>
            </w:r>
            <w:r>
              <w:rPr>
                <w:rFonts w:ascii="宋体" w:hAnsi="宋体"/>
                <w:color w:val="auto"/>
                <w:sz w:val="21"/>
                <w:szCs w:val="21"/>
                <w:highlight w:val="none"/>
              </w:rPr>
              <w:t>）投标人不存在第二章“投标人须知”第1.4.3项或第1.4.4项规定的任何一种情形。</w:t>
            </w:r>
          </w:p>
        </w:tc>
      </w:tr>
      <w:tr w14:paraId="622F1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1B4B63C8">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2.2.1</w:t>
            </w:r>
          </w:p>
        </w:tc>
        <w:tc>
          <w:tcPr>
            <w:tcW w:w="1134" w:type="dxa"/>
            <w:noWrap w:val="0"/>
            <w:vAlign w:val="center"/>
          </w:tcPr>
          <w:p w14:paraId="724D7E2F">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分值</w:t>
            </w:r>
          </w:p>
          <w:p w14:paraId="5810ABD7">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构成</w:t>
            </w:r>
          </w:p>
        </w:tc>
        <w:tc>
          <w:tcPr>
            <w:tcW w:w="7250" w:type="dxa"/>
            <w:noWrap w:val="0"/>
            <w:vAlign w:val="center"/>
          </w:tcPr>
          <w:p w14:paraId="58EE5D19">
            <w:pPr>
              <w:autoSpaceDE w:val="0"/>
              <w:autoSpaceDN w:val="0"/>
              <w:adjustRightInd w:val="0"/>
              <w:snapToGrid w:val="0"/>
              <w:spacing w:line="320" w:lineRule="exact"/>
              <w:ind w:left="107"/>
              <w:jc w:val="left"/>
              <w:rPr>
                <w:rFonts w:ascii="宋体" w:hAnsi="宋体"/>
                <w:b/>
                <w:color w:val="auto"/>
                <w:kern w:val="0"/>
                <w:sz w:val="21"/>
                <w:szCs w:val="21"/>
                <w:highlight w:val="none"/>
              </w:rPr>
            </w:pPr>
            <w:r>
              <w:rPr>
                <w:rFonts w:ascii="宋体" w:hAnsi="宋体"/>
                <w:b/>
                <w:color w:val="auto"/>
                <w:kern w:val="0"/>
                <w:sz w:val="21"/>
                <w:szCs w:val="21"/>
                <w:highlight w:val="none"/>
              </w:rPr>
              <w:t>第一信封（商务及</w:t>
            </w:r>
            <w:r>
              <w:rPr>
                <w:rFonts w:hint="eastAsia" w:ascii="宋体" w:hAnsi="宋体"/>
                <w:b/>
                <w:color w:val="auto"/>
                <w:kern w:val="0"/>
                <w:sz w:val="21"/>
                <w:szCs w:val="21"/>
                <w:highlight w:val="none"/>
                <w:lang w:val="en-US" w:eastAsia="zh-CN"/>
              </w:rPr>
              <w:t>实施方案</w:t>
            </w:r>
            <w:r>
              <w:rPr>
                <w:rFonts w:ascii="宋体" w:hAnsi="宋体"/>
                <w:b/>
                <w:color w:val="auto"/>
                <w:kern w:val="0"/>
                <w:sz w:val="21"/>
                <w:szCs w:val="21"/>
                <w:highlight w:val="none"/>
              </w:rPr>
              <w:t>文件）评分分值构成：</w:t>
            </w:r>
          </w:p>
          <w:p w14:paraId="729B09AB">
            <w:pPr>
              <w:autoSpaceDE w:val="0"/>
              <w:autoSpaceDN w:val="0"/>
              <w:adjustRightInd w:val="0"/>
              <w:snapToGrid w:val="0"/>
              <w:spacing w:line="320" w:lineRule="exact"/>
              <w:ind w:left="107"/>
              <w:jc w:val="left"/>
              <w:rPr>
                <w:rFonts w:ascii="宋体" w:hAnsi="宋体"/>
                <w:color w:val="auto"/>
                <w:kern w:val="0"/>
                <w:sz w:val="21"/>
                <w:szCs w:val="21"/>
                <w:highlight w:val="none"/>
              </w:rPr>
            </w:pPr>
            <w:r>
              <w:rPr>
                <w:rFonts w:ascii="宋体" w:hAnsi="宋体"/>
                <w:color w:val="auto"/>
                <w:kern w:val="0"/>
                <w:sz w:val="21"/>
                <w:szCs w:val="21"/>
                <w:highlight w:val="none"/>
              </w:rPr>
              <w:t>实施方案</w:t>
            </w:r>
            <w:r>
              <w:rPr>
                <w:rFonts w:hint="eastAsia" w:ascii="宋体" w:hAnsi="宋体"/>
                <w:color w:val="auto"/>
                <w:kern w:val="0"/>
                <w:sz w:val="21"/>
                <w:szCs w:val="21"/>
                <w:highlight w:val="none"/>
                <w:lang w:eastAsia="zh-CN"/>
              </w:rPr>
              <w:t>（</w:t>
            </w:r>
            <w:r>
              <w:rPr>
                <w:rFonts w:hint="eastAsia" w:ascii="宋体" w:hAnsi="宋体"/>
                <w:color w:val="auto"/>
                <w:kern w:val="0"/>
                <w:sz w:val="21"/>
                <w:szCs w:val="21"/>
                <w:highlight w:val="none"/>
                <w:lang w:val="en-US" w:eastAsia="zh-CN"/>
              </w:rPr>
              <w:t>暗标</w:t>
            </w:r>
            <w:r>
              <w:rPr>
                <w:rFonts w:hint="eastAsia" w:ascii="宋体" w:hAnsi="宋体"/>
                <w:color w:val="auto"/>
                <w:kern w:val="0"/>
                <w:sz w:val="21"/>
                <w:szCs w:val="21"/>
                <w:highlight w:val="none"/>
                <w:lang w:eastAsia="zh-CN"/>
              </w:rPr>
              <w:t>）</w:t>
            </w:r>
            <w:r>
              <w:rPr>
                <w:rFonts w:ascii="宋体" w:hAnsi="宋体"/>
                <w:color w:val="auto"/>
                <w:kern w:val="0"/>
                <w:sz w:val="21"/>
                <w:szCs w:val="21"/>
                <w:highlight w:val="none"/>
              </w:rPr>
              <w:t>：</w:t>
            </w:r>
            <w:r>
              <w:rPr>
                <w:rFonts w:hint="eastAsia" w:ascii="宋体" w:hAnsi="宋体"/>
                <w:color w:val="auto"/>
                <w:kern w:val="0"/>
                <w:sz w:val="21"/>
                <w:szCs w:val="21"/>
                <w:highlight w:val="none"/>
                <w:lang w:val="en-US" w:eastAsia="zh-CN"/>
              </w:rPr>
              <w:t>40</w:t>
            </w:r>
            <w:r>
              <w:rPr>
                <w:rFonts w:ascii="宋体" w:hAnsi="宋体"/>
                <w:color w:val="auto"/>
                <w:kern w:val="0"/>
                <w:sz w:val="21"/>
                <w:szCs w:val="21"/>
                <w:highlight w:val="none"/>
              </w:rPr>
              <w:t>分</w:t>
            </w:r>
          </w:p>
          <w:p w14:paraId="28186AB3">
            <w:pPr>
              <w:autoSpaceDE w:val="0"/>
              <w:autoSpaceDN w:val="0"/>
              <w:adjustRightInd w:val="0"/>
              <w:snapToGrid w:val="0"/>
              <w:spacing w:line="320" w:lineRule="exact"/>
              <w:ind w:left="107"/>
              <w:jc w:val="left"/>
              <w:rPr>
                <w:rFonts w:hint="eastAsia" w:ascii="宋体" w:hAnsi="宋体"/>
                <w:color w:val="auto"/>
                <w:kern w:val="0"/>
                <w:sz w:val="21"/>
                <w:szCs w:val="21"/>
                <w:highlight w:val="none"/>
              </w:rPr>
            </w:pPr>
            <w:r>
              <w:rPr>
                <w:rFonts w:ascii="宋体" w:hAnsi="宋体"/>
                <w:color w:val="auto"/>
                <w:kern w:val="0"/>
                <w:sz w:val="21"/>
                <w:szCs w:val="21"/>
                <w:highlight w:val="none"/>
              </w:rPr>
              <w:t xml:space="preserve">主要人员：    </w:t>
            </w:r>
            <w:r>
              <w:rPr>
                <w:rFonts w:hint="eastAsia" w:ascii="宋体" w:hAnsi="宋体"/>
                <w:color w:val="auto"/>
                <w:kern w:val="0"/>
                <w:sz w:val="21"/>
                <w:szCs w:val="21"/>
                <w:highlight w:val="none"/>
                <w:lang w:val="en-US" w:eastAsia="zh-CN"/>
              </w:rPr>
              <w:t>15</w:t>
            </w:r>
            <w:r>
              <w:rPr>
                <w:rFonts w:ascii="宋体" w:hAnsi="宋体"/>
                <w:color w:val="auto"/>
                <w:kern w:val="0"/>
                <w:sz w:val="21"/>
                <w:szCs w:val="21"/>
                <w:highlight w:val="none"/>
              </w:rPr>
              <w:t>分</w:t>
            </w:r>
          </w:p>
          <w:p w14:paraId="32BFD663">
            <w:pPr>
              <w:autoSpaceDE w:val="0"/>
              <w:autoSpaceDN w:val="0"/>
              <w:adjustRightInd w:val="0"/>
              <w:snapToGrid w:val="0"/>
              <w:spacing w:line="320" w:lineRule="exact"/>
              <w:ind w:left="107"/>
              <w:jc w:val="left"/>
              <w:rPr>
                <w:rFonts w:ascii="宋体" w:hAnsi="宋体"/>
                <w:color w:val="auto"/>
                <w:kern w:val="0"/>
                <w:sz w:val="21"/>
                <w:szCs w:val="21"/>
                <w:highlight w:val="none"/>
              </w:rPr>
            </w:pPr>
            <w:r>
              <w:rPr>
                <w:rFonts w:ascii="宋体" w:hAnsi="宋体"/>
                <w:color w:val="auto"/>
                <w:kern w:val="0"/>
                <w:sz w:val="21"/>
                <w:szCs w:val="21"/>
                <w:highlight w:val="none"/>
              </w:rPr>
              <w:t xml:space="preserve">业    绩：    </w:t>
            </w:r>
            <w:r>
              <w:rPr>
                <w:rFonts w:hint="eastAsia" w:ascii="宋体" w:hAnsi="宋体"/>
                <w:color w:val="auto"/>
                <w:kern w:val="0"/>
                <w:sz w:val="21"/>
                <w:szCs w:val="21"/>
                <w:highlight w:val="none"/>
                <w:lang w:val="en-US" w:eastAsia="zh-CN"/>
              </w:rPr>
              <w:t>15</w:t>
            </w:r>
            <w:r>
              <w:rPr>
                <w:rFonts w:ascii="宋体" w:hAnsi="宋体"/>
                <w:color w:val="auto"/>
                <w:kern w:val="0"/>
                <w:sz w:val="21"/>
                <w:szCs w:val="21"/>
                <w:highlight w:val="none"/>
              </w:rPr>
              <w:t>分</w:t>
            </w:r>
          </w:p>
          <w:p w14:paraId="6B11482D">
            <w:pPr>
              <w:autoSpaceDE w:val="0"/>
              <w:autoSpaceDN w:val="0"/>
              <w:adjustRightInd w:val="0"/>
              <w:snapToGrid w:val="0"/>
              <w:spacing w:line="320" w:lineRule="exact"/>
              <w:ind w:left="107"/>
              <w:jc w:val="left"/>
              <w:rPr>
                <w:rFonts w:ascii="宋体" w:hAnsi="宋体"/>
                <w:color w:val="auto"/>
                <w:kern w:val="0"/>
                <w:sz w:val="21"/>
                <w:szCs w:val="21"/>
                <w:highlight w:val="none"/>
              </w:rPr>
            </w:pPr>
          </w:p>
          <w:p w14:paraId="62218666">
            <w:pPr>
              <w:autoSpaceDE w:val="0"/>
              <w:autoSpaceDN w:val="0"/>
              <w:adjustRightInd w:val="0"/>
              <w:snapToGrid w:val="0"/>
              <w:spacing w:line="320" w:lineRule="exact"/>
              <w:ind w:left="107"/>
              <w:jc w:val="left"/>
              <w:rPr>
                <w:rFonts w:ascii="宋体" w:hAnsi="宋体"/>
                <w:b/>
                <w:color w:val="auto"/>
                <w:kern w:val="0"/>
                <w:sz w:val="21"/>
                <w:szCs w:val="21"/>
                <w:highlight w:val="none"/>
              </w:rPr>
            </w:pPr>
            <w:r>
              <w:rPr>
                <w:rFonts w:ascii="宋体" w:hAnsi="宋体"/>
                <w:b/>
                <w:color w:val="auto"/>
                <w:kern w:val="0"/>
                <w:sz w:val="21"/>
                <w:szCs w:val="21"/>
                <w:highlight w:val="none"/>
              </w:rPr>
              <w:t>第二信封（报价文件）评分分值构成：</w:t>
            </w:r>
          </w:p>
          <w:p w14:paraId="3672F5E3">
            <w:pPr>
              <w:autoSpaceDE w:val="0"/>
              <w:autoSpaceDN w:val="0"/>
              <w:adjustRightInd w:val="0"/>
              <w:snapToGrid w:val="0"/>
              <w:spacing w:line="320" w:lineRule="exact"/>
              <w:ind w:left="107"/>
              <w:jc w:val="left"/>
              <w:rPr>
                <w:rFonts w:ascii="宋体" w:hAnsi="宋体"/>
                <w:color w:val="auto"/>
                <w:sz w:val="21"/>
                <w:szCs w:val="21"/>
                <w:highlight w:val="none"/>
              </w:rPr>
            </w:pPr>
            <w:r>
              <w:rPr>
                <w:rFonts w:ascii="宋体" w:hAnsi="宋体"/>
                <w:color w:val="auto"/>
                <w:sz w:val="21"/>
                <w:szCs w:val="21"/>
                <w:highlight w:val="none"/>
              </w:rPr>
              <w:t xml:space="preserve">评 标 价：    </w:t>
            </w:r>
            <w:r>
              <w:rPr>
                <w:rFonts w:hint="eastAsia" w:ascii="宋体" w:hAnsi="宋体"/>
                <w:color w:val="auto"/>
                <w:sz w:val="21"/>
                <w:szCs w:val="21"/>
                <w:highlight w:val="none"/>
              </w:rPr>
              <w:t>30</w:t>
            </w:r>
            <w:r>
              <w:rPr>
                <w:rFonts w:ascii="宋体" w:hAnsi="宋体"/>
                <w:color w:val="auto"/>
                <w:sz w:val="21"/>
                <w:szCs w:val="21"/>
                <w:highlight w:val="none"/>
              </w:rPr>
              <w:t>分</w:t>
            </w:r>
            <w:r>
              <w:rPr>
                <w:rFonts w:hint="eastAsia" w:ascii="宋体" w:hAnsi="宋体"/>
                <w:color w:val="auto"/>
                <w:sz w:val="21"/>
                <w:szCs w:val="21"/>
                <w:highlight w:val="none"/>
              </w:rPr>
              <w:t xml:space="preserve">  </w:t>
            </w:r>
          </w:p>
        </w:tc>
      </w:tr>
      <w:tr w14:paraId="4140F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959" w:type="dxa"/>
            <w:noWrap w:val="0"/>
            <w:vAlign w:val="center"/>
          </w:tcPr>
          <w:p w14:paraId="1F95820D">
            <w:pPr>
              <w:snapToGrid w:val="0"/>
              <w:spacing w:line="320" w:lineRule="exact"/>
              <w:ind w:right="113"/>
              <w:jc w:val="center"/>
              <w:rPr>
                <w:rFonts w:ascii="宋体" w:hAnsi="宋体"/>
                <w:color w:val="auto"/>
                <w:sz w:val="21"/>
                <w:szCs w:val="21"/>
                <w:highlight w:val="none"/>
              </w:rPr>
            </w:pPr>
            <w:r>
              <w:rPr>
                <w:rFonts w:ascii="宋体" w:hAnsi="宋体"/>
                <w:color w:val="auto"/>
                <w:sz w:val="21"/>
                <w:szCs w:val="21"/>
                <w:highlight w:val="none"/>
              </w:rPr>
              <w:t>2.2.2</w:t>
            </w:r>
          </w:p>
        </w:tc>
        <w:tc>
          <w:tcPr>
            <w:tcW w:w="1134" w:type="dxa"/>
            <w:noWrap w:val="0"/>
            <w:vAlign w:val="center"/>
          </w:tcPr>
          <w:p w14:paraId="167992C3">
            <w:pPr>
              <w:snapToGrid w:val="0"/>
              <w:spacing w:line="320" w:lineRule="exact"/>
              <w:ind w:left="2"/>
              <w:jc w:val="center"/>
              <w:rPr>
                <w:rFonts w:ascii="宋体" w:hAnsi="宋体"/>
                <w:color w:val="auto"/>
                <w:sz w:val="21"/>
                <w:szCs w:val="21"/>
                <w:highlight w:val="none"/>
              </w:rPr>
            </w:pPr>
            <w:r>
              <w:rPr>
                <w:rFonts w:ascii="宋体" w:hAnsi="宋体"/>
                <w:color w:val="auto"/>
                <w:sz w:val="21"/>
                <w:szCs w:val="21"/>
                <w:highlight w:val="none"/>
              </w:rPr>
              <w:t>评标基准价计算方法</w:t>
            </w:r>
          </w:p>
        </w:tc>
        <w:tc>
          <w:tcPr>
            <w:tcW w:w="7250" w:type="dxa"/>
            <w:noWrap w:val="0"/>
            <w:vAlign w:val="center"/>
          </w:tcPr>
          <w:p w14:paraId="6132A2C2">
            <w:pPr>
              <w:keepNext w:val="0"/>
              <w:keepLines w:val="0"/>
              <w:pageBreakBefore w:val="0"/>
              <w:widowControl w:val="0"/>
              <w:kinsoku/>
              <w:wordWrap/>
              <w:overflowPunct/>
              <w:topLinePunct w:val="0"/>
              <w:bidi w:val="0"/>
              <w:snapToGrid w:val="0"/>
              <w:spacing w:line="320" w:lineRule="exact"/>
              <w:jc w:val="left"/>
              <w:textAlignment w:val="auto"/>
              <w:rPr>
                <w:rFonts w:ascii="宋体" w:hAnsi="宋体"/>
                <w:b/>
                <w:color w:val="auto"/>
                <w:sz w:val="21"/>
                <w:szCs w:val="21"/>
                <w:highlight w:val="none"/>
              </w:rPr>
            </w:pPr>
            <w:r>
              <w:rPr>
                <w:rFonts w:ascii="宋体" w:hAnsi="宋体"/>
                <w:b/>
                <w:color w:val="auto"/>
                <w:sz w:val="21"/>
                <w:szCs w:val="21"/>
                <w:highlight w:val="none"/>
              </w:rPr>
              <w:t>评标基准价的计算：</w:t>
            </w:r>
          </w:p>
          <w:p w14:paraId="61C8509C">
            <w:pPr>
              <w:keepNext w:val="0"/>
              <w:keepLines w:val="0"/>
              <w:pageBreakBefore w:val="0"/>
              <w:widowControl w:val="0"/>
              <w:kinsoku/>
              <w:wordWrap/>
              <w:overflowPunct/>
              <w:topLinePunct w:val="0"/>
              <w:bidi w:val="0"/>
              <w:snapToGrid w:val="0"/>
              <w:spacing w:line="320" w:lineRule="exact"/>
              <w:ind w:right="113"/>
              <w:textAlignment w:val="auto"/>
              <w:rPr>
                <w:rFonts w:ascii="宋体" w:hAnsi="宋体"/>
                <w:color w:val="auto"/>
                <w:sz w:val="21"/>
                <w:szCs w:val="21"/>
                <w:highlight w:val="none"/>
              </w:rPr>
            </w:pPr>
            <w:r>
              <w:rPr>
                <w:rFonts w:ascii="宋体" w:hAnsi="宋体"/>
                <w:color w:val="auto"/>
                <w:sz w:val="21"/>
                <w:szCs w:val="21"/>
                <w:highlight w:val="none"/>
              </w:rPr>
              <w:t>在</w:t>
            </w:r>
            <w:r>
              <w:rPr>
                <w:rFonts w:hint="eastAsia" w:ascii="宋体" w:hAnsi="宋体"/>
                <w:color w:val="auto"/>
                <w:sz w:val="21"/>
                <w:szCs w:val="21"/>
                <w:highlight w:val="none"/>
                <w:lang w:val="en-US" w:eastAsia="zh-CN"/>
              </w:rPr>
              <w:t>第二信封</w:t>
            </w:r>
            <w:r>
              <w:rPr>
                <w:rFonts w:ascii="宋体" w:hAnsi="宋体"/>
                <w:color w:val="auto"/>
                <w:sz w:val="21"/>
                <w:szCs w:val="21"/>
                <w:highlight w:val="none"/>
              </w:rPr>
              <w:t>开标现场，招标人将当场计算并宣布评标基准价。</w:t>
            </w:r>
          </w:p>
          <w:p w14:paraId="4C8D5F65">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（1）评标价的确定：评标价＝投标函文字报价</w:t>
            </w:r>
          </w:p>
          <w:p w14:paraId="635BF9EB">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（2）评标价平均值的计算：</w:t>
            </w:r>
          </w:p>
          <w:p w14:paraId="0AB420E3">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除按第二章“投标人须知”第5.2.4项规定开标现场被宣布为不进入评标基准价计算的投标报价之外，所有投标人的评标价去掉一个最高值和一个最低值后作算术平均（如果参与评标价平均值计算的有效投标人少于5家时，则计算评标价平均值时不去掉最高值和最低值），将该平均值作为评标价平均值。</w:t>
            </w:r>
          </w:p>
          <w:p w14:paraId="2C686844">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(3)评标基准价的确定：</w:t>
            </w:r>
          </w:p>
          <w:p w14:paraId="51D0D9FA">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评标价平均值直接作为评标基准价（评标基准价保留小数点后两位，小数点后第三位四舍五入）。</w:t>
            </w:r>
          </w:p>
          <w:p w14:paraId="415B9AB7">
            <w:pPr>
              <w:snapToGrid w:val="0"/>
              <w:spacing w:line="320" w:lineRule="exact"/>
              <w:ind w:right="113" w:firstLine="426" w:firstLineChars="203"/>
              <w:rPr>
                <w:rFonts w:ascii="宋体" w:hAnsi="宋体"/>
                <w:color w:val="auto"/>
                <w:sz w:val="21"/>
                <w:szCs w:val="21"/>
                <w:highlight w:val="none"/>
              </w:rPr>
            </w:pPr>
            <w:r>
              <w:rPr>
                <w:rFonts w:hint="eastAsia" w:ascii="宋体" w:hAnsi="宋体"/>
                <w:color w:val="auto"/>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78611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59" w:type="dxa"/>
            <w:noWrap w:val="0"/>
            <w:vAlign w:val="center"/>
          </w:tcPr>
          <w:p w14:paraId="7BD783C4">
            <w:pPr>
              <w:snapToGrid w:val="0"/>
              <w:spacing w:line="320" w:lineRule="exact"/>
              <w:ind w:right="113"/>
              <w:jc w:val="center"/>
              <w:rPr>
                <w:rFonts w:ascii="宋体" w:hAnsi="宋体"/>
                <w:color w:val="auto"/>
                <w:sz w:val="21"/>
                <w:szCs w:val="21"/>
                <w:highlight w:val="none"/>
              </w:rPr>
            </w:pPr>
            <w:r>
              <w:rPr>
                <w:rFonts w:ascii="宋体" w:hAnsi="宋体"/>
                <w:color w:val="auto"/>
                <w:sz w:val="21"/>
                <w:szCs w:val="21"/>
                <w:highlight w:val="none"/>
              </w:rPr>
              <w:t>2.2.3</w:t>
            </w:r>
          </w:p>
        </w:tc>
        <w:tc>
          <w:tcPr>
            <w:tcW w:w="1134" w:type="dxa"/>
            <w:noWrap w:val="0"/>
            <w:vAlign w:val="center"/>
          </w:tcPr>
          <w:p w14:paraId="073BFB35">
            <w:pPr>
              <w:snapToGrid w:val="0"/>
              <w:spacing w:line="320" w:lineRule="exact"/>
              <w:ind w:left="-42" w:leftChars="-15" w:right="-77"/>
              <w:rPr>
                <w:rFonts w:ascii="宋体" w:hAnsi="宋体"/>
                <w:color w:val="auto"/>
                <w:sz w:val="21"/>
                <w:szCs w:val="21"/>
                <w:highlight w:val="none"/>
              </w:rPr>
            </w:pPr>
            <w:r>
              <w:rPr>
                <w:rFonts w:ascii="宋体" w:hAnsi="宋体"/>
                <w:color w:val="auto"/>
                <w:sz w:val="21"/>
                <w:szCs w:val="21"/>
                <w:highlight w:val="none"/>
              </w:rPr>
              <w:t>评标价的偏差率计算公式</w:t>
            </w:r>
          </w:p>
        </w:tc>
        <w:tc>
          <w:tcPr>
            <w:tcW w:w="7250" w:type="dxa"/>
            <w:noWrap w:val="0"/>
            <w:vAlign w:val="center"/>
          </w:tcPr>
          <w:p w14:paraId="57B85BB8">
            <w:pPr>
              <w:snapToGrid w:val="0"/>
              <w:spacing w:line="320" w:lineRule="exact"/>
              <w:ind w:right="113" w:firstLine="426" w:firstLineChars="203"/>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w:t>
            </w:r>
          </w:p>
        </w:tc>
      </w:tr>
      <w:tr w14:paraId="5DE19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59" w:type="dxa"/>
            <w:noWrap w:val="0"/>
            <w:vAlign w:val="center"/>
          </w:tcPr>
          <w:p w14:paraId="7129AE13">
            <w:pPr>
              <w:snapToGrid w:val="0"/>
              <w:spacing w:line="320" w:lineRule="exact"/>
              <w:jc w:val="center"/>
              <w:rPr>
                <w:rFonts w:ascii="宋体" w:hAnsi="宋体"/>
                <w:color w:val="auto"/>
                <w:sz w:val="21"/>
                <w:szCs w:val="21"/>
                <w:highlight w:val="none"/>
              </w:rPr>
            </w:pPr>
            <w:r>
              <w:rPr>
                <w:rFonts w:hint="eastAsia" w:ascii="宋体" w:hAnsi="宋体"/>
                <w:color w:val="auto"/>
                <w:sz w:val="21"/>
                <w:szCs w:val="21"/>
                <w:highlight w:val="none"/>
                <w:lang w:eastAsia="zh-CN"/>
              </w:rPr>
              <w:t>3.5.3</w:t>
            </w:r>
          </w:p>
        </w:tc>
        <w:tc>
          <w:tcPr>
            <w:tcW w:w="1134" w:type="dxa"/>
            <w:noWrap w:val="0"/>
            <w:vAlign w:val="center"/>
          </w:tcPr>
          <w:p w14:paraId="653FBE66">
            <w:pPr>
              <w:snapToGrid w:val="0"/>
              <w:spacing w:line="320" w:lineRule="exact"/>
              <w:jc w:val="center"/>
              <w:rPr>
                <w:rFonts w:ascii="宋体" w:hAnsi="宋体"/>
                <w:color w:val="auto"/>
                <w:sz w:val="21"/>
                <w:szCs w:val="21"/>
                <w:highlight w:val="none"/>
              </w:rPr>
            </w:pPr>
            <w:r>
              <w:rPr>
                <w:rFonts w:hint="eastAsia" w:ascii="宋体" w:hAnsi="宋体"/>
                <w:color w:val="auto"/>
                <w:sz w:val="21"/>
                <w:szCs w:val="21"/>
                <w:highlight w:val="none"/>
                <w:lang w:eastAsia="zh-CN"/>
              </w:rPr>
              <w:t>异常低价</w:t>
            </w:r>
          </w:p>
        </w:tc>
        <w:tc>
          <w:tcPr>
            <w:tcW w:w="7250" w:type="dxa"/>
            <w:noWrap w:val="0"/>
            <w:vAlign w:val="center"/>
          </w:tcPr>
          <w:p w14:paraId="0B9CC336">
            <w:pPr>
              <w:snapToGrid w:val="0"/>
              <w:spacing w:line="320" w:lineRule="exact"/>
              <w:jc w:val="both"/>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本款修改为：</w:t>
            </w:r>
          </w:p>
          <w:p w14:paraId="31FAE2F7">
            <w:pPr>
              <w:snapToGrid w:val="0"/>
              <w:spacing w:line="320" w:lineRule="exact"/>
              <w:jc w:val="both"/>
              <w:rPr>
                <w:rFonts w:hint="eastAsia" w:ascii="宋体" w:hAnsi="宋体"/>
                <w:color w:val="auto"/>
                <w:sz w:val="21"/>
                <w:szCs w:val="21"/>
                <w:highlight w:val="none"/>
                <w:lang w:val="en-US" w:eastAsia="zh-CN"/>
              </w:rPr>
            </w:pPr>
            <w:r>
              <w:rPr>
                <w:rFonts w:hint="eastAsia" w:ascii="宋体" w:hAnsi="宋体"/>
                <w:color w:val="auto"/>
                <w:sz w:val="21"/>
                <w:szCs w:val="21"/>
                <w:highlight w:val="none"/>
                <w:lang w:eastAsia="zh-CN"/>
              </w:rPr>
              <w:t>投标人</w:t>
            </w:r>
            <w:r>
              <w:rPr>
                <w:rFonts w:hint="eastAsia" w:ascii="宋体" w:hAnsi="宋体"/>
                <w:color w:val="auto"/>
                <w:sz w:val="21"/>
                <w:szCs w:val="21"/>
                <w:highlight w:val="none"/>
                <w:lang w:val="en-US" w:eastAsia="zh-CN"/>
              </w:rPr>
              <w:t>的</w:t>
            </w:r>
            <w:r>
              <w:rPr>
                <w:rFonts w:hint="eastAsia" w:ascii="宋体" w:hAnsi="宋体"/>
                <w:color w:val="auto"/>
                <w:sz w:val="21"/>
                <w:szCs w:val="21"/>
                <w:highlight w:val="none"/>
                <w:lang w:eastAsia="zh-CN"/>
              </w:rPr>
              <w:t>投标</w:t>
            </w:r>
            <w:r>
              <w:rPr>
                <w:rFonts w:hint="eastAsia" w:ascii="Times New Roman" w:eastAsia="宋体"/>
                <w:color w:val="auto"/>
                <w:sz w:val="21"/>
                <w:szCs w:val="21"/>
                <w:highlight w:val="none"/>
                <w:lang w:val="en-US" w:eastAsia="zh-CN"/>
              </w:rPr>
              <w:t>总</w:t>
            </w:r>
            <w:r>
              <w:rPr>
                <w:rFonts w:hint="eastAsia" w:ascii="宋体" w:hAnsi="宋体"/>
                <w:color w:val="auto"/>
                <w:sz w:val="21"/>
                <w:szCs w:val="21"/>
                <w:highlight w:val="none"/>
                <w:lang w:eastAsia="zh-CN"/>
              </w:rPr>
              <w:t>报价低于最高</w:t>
            </w:r>
            <w:r>
              <w:rPr>
                <w:rFonts w:hint="eastAsia" w:ascii="Times New Roman" w:eastAsia="宋体"/>
                <w:color w:val="auto"/>
                <w:sz w:val="21"/>
                <w:szCs w:val="21"/>
                <w:highlight w:val="none"/>
                <w:lang w:val="en-US" w:eastAsia="zh-CN"/>
              </w:rPr>
              <w:t>投标</w:t>
            </w:r>
            <w:r>
              <w:rPr>
                <w:rFonts w:hint="eastAsia" w:ascii="宋体" w:hAnsi="宋体"/>
                <w:color w:val="auto"/>
                <w:sz w:val="21"/>
                <w:szCs w:val="21"/>
                <w:highlight w:val="none"/>
                <w:lang w:eastAsia="zh-CN"/>
              </w:rPr>
              <w:t>限价的</w:t>
            </w:r>
            <w:r>
              <w:rPr>
                <w:rFonts w:hint="eastAsia" w:ascii="Times New Roman" w:eastAsia="宋体"/>
                <w:color w:val="auto"/>
                <w:sz w:val="21"/>
                <w:szCs w:val="21"/>
                <w:highlight w:val="none"/>
                <w:lang w:val="en-US" w:eastAsia="zh-CN"/>
              </w:rPr>
              <w:t>65</w:t>
            </w:r>
            <w:r>
              <w:rPr>
                <w:rFonts w:hint="eastAsia" w:ascii="宋体" w:hAnsi="宋体"/>
                <w:color w:val="auto"/>
                <w:sz w:val="21"/>
                <w:szCs w:val="21"/>
                <w:highlight w:val="none"/>
                <w:lang w:eastAsia="zh-CN"/>
              </w:rPr>
              <w:t>%(含)</w:t>
            </w:r>
            <w:r>
              <w:rPr>
                <w:rFonts w:hint="eastAsia" w:ascii="宋体" w:hAnsi="宋体"/>
                <w:color w:val="auto"/>
                <w:sz w:val="21"/>
                <w:szCs w:val="21"/>
                <w:highlight w:val="none"/>
                <w:lang w:val="en-US" w:eastAsia="zh-CN"/>
              </w:rPr>
              <w:t>时</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评标委员会应当要求投标人在规定期限内以书面形式作出说明,并提供必要的证明材料。投标人不能证明其报价合理性的,评标委员会应当否决其投标</w:t>
            </w:r>
            <w:r>
              <w:rPr>
                <w:rFonts w:hint="eastAsia" w:ascii="宋体" w:hAnsi="宋体"/>
                <w:color w:val="auto"/>
                <w:sz w:val="21"/>
                <w:szCs w:val="21"/>
                <w:highlight w:val="none"/>
                <w:lang w:eastAsia="zh-CN"/>
              </w:rPr>
              <w:t>。</w:t>
            </w:r>
          </w:p>
        </w:tc>
      </w:tr>
      <w:tr w14:paraId="2EE45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3" w:hRule="atLeast"/>
          <w:jc w:val="center"/>
        </w:trPr>
        <w:tc>
          <w:tcPr>
            <w:tcW w:w="959" w:type="dxa"/>
            <w:noWrap w:val="0"/>
            <w:vAlign w:val="center"/>
          </w:tcPr>
          <w:p w14:paraId="2A69FEBA">
            <w:pPr>
              <w:snapToGrid w:val="0"/>
              <w:spacing w:line="320" w:lineRule="exact"/>
              <w:ind w:right="113"/>
              <w:jc w:val="center"/>
              <w:rPr>
                <w:rFonts w:ascii="宋体" w:hAnsi="宋体"/>
                <w:color w:val="auto"/>
                <w:sz w:val="21"/>
                <w:szCs w:val="21"/>
                <w:highlight w:val="none"/>
              </w:rPr>
            </w:pPr>
            <w:r>
              <w:rPr>
                <w:rFonts w:ascii="宋体" w:hAnsi="宋体"/>
                <w:color w:val="auto"/>
                <w:sz w:val="21"/>
                <w:szCs w:val="21"/>
                <w:highlight w:val="none"/>
              </w:rPr>
              <w:t>3.6.1</w:t>
            </w:r>
          </w:p>
        </w:tc>
        <w:tc>
          <w:tcPr>
            <w:tcW w:w="1134" w:type="dxa"/>
            <w:noWrap w:val="0"/>
            <w:vAlign w:val="center"/>
          </w:tcPr>
          <w:p w14:paraId="5E4B05B2">
            <w:pPr>
              <w:snapToGrid w:val="0"/>
              <w:spacing w:line="320" w:lineRule="exact"/>
              <w:ind w:left="-42" w:leftChars="-15" w:right="-77"/>
              <w:rPr>
                <w:rFonts w:ascii="宋体" w:hAnsi="宋体"/>
                <w:color w:val="auto"/>
                <w:sz w:val="21"/>
                <w:szCs w:val="21"/>
                <w:highlight w:val="none"/>
              </w:rPr>
            </w:pPr>
            <w:r>
              <w:rPr>
                <w:rFonts w:ascii="宋体" w:hAnsi="宋体"/>
                <w:color w:val="auto"/>
                <w:sz w:val="21"/>
                <w:szCs w:val="21"/>
                <w:highlight w:val="none"/>
              </w:rPr>
              <w:t>投标文件相关信息核查</w:t>
            </w:r>
          </w:p>
        </w:tc>
        <w:tc>
          <w:tcPr>
            <w:tcW w:w="7250" w:type="dxa"/>
            <w:noWrap w:val="0"/>
            <w:vAlign w:val="center"/>
          </w:tcPr>
          <w:p w14:paraId="6E2BFAB6">
            <w:pPr>
              <w:autoSpaceDE w:val="0"/>
              <w:autoSpaceDN w:val="0"/>
              <w:snapToGrid w:val="0"/>
              <w:spacing w:line="320" w:lineRule="exact"/>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本款修改为：</w:t>
            </w:r>
          </w:p>
          <w:p w14:paraId="3248993B">
            <w:pPr>
              <w:numPr>
                <w:ilvl w:val="0"/>
                <w:numId w:val="0"/>
              </w:numPr>
              <w:autoSpaceDE w:val="0"/>
              <w:autoSpaceDN w:val="0"/>
              <w:snapToGrid w:val="0"/>
              <w:spacing w:line="320" w:lineRule="exact"/>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评标委员会在评标过程中</w:t>
            </w:r>
            <w:r>
              <w:rPr>
                <w:rFonts w:hint="eastAsia" w:ascii="宋体" w:hAnsi="宋体" w:eastAsia="宋体" w:cs="宋体"/>
                <w:color w:val="auto"/>
                <w:sz w:val="21"/>
                <w:szCs w:val="21"/>
                <w:highlight w:val="none"/>
                <w:lang w:val="en-US" w:eastAsia="zh-CN"/>
              </w:rPr>
              <w:t>将对投标人的信誉情况进行查询。如投标人存在下列情形之一的，</w:t>
            </w:r>
            <w:r>
              <w:rPr>
                <w:rFonts w:hint="eastAsia" w:ascii="宋体" w:hAnsi="宋体" w:eastAsia="宋体" w:cs="宋体"/>
                <w:color w:val="auto"/>
                <w:sz w:val="21"/>
                <w:szCs w:val="21"/>
                <w:highlight w:val="none"/>
                <w:lang w:eastAsia="zh-CN"/>
              </w:rPr>
              <w:t>评标委员会应否决其投标。</w:t>
            </w:r>
          </w:p>
          <w:p w14:paraId="0B35B313">
            <w:pPr>
              <w:numPr>
                <w:ilvl w:val="0"/>
                <w:numId w:val="0"/>
              </w:numPr>
              <w:autoSpaceDE w:val="0"/>
              <w:autoSpaceDN w:val="0"/>
              <w:snapToGrid w:val="0"/>
              <w:spacing w:line="320" w:lineRule="exact"/>
              <w:ind w:firstLine="420" w:firstLineChars="200"/>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在国家企业信用信息公示系统（https://www.gsxt.gov.cn/）中被列入严重违法失信名单（黑名单）（不含分公司）；</w:t>
            </w:r>
          </w:p>
          <w:p w14:paraId="583D4A70">
            <w:pPr>
              <w:numPr>
                <w:ilvl w:val="0"/>
                <w:numId w:val="0"/>
              </w:numPr>
              <w:autoSpaceDE w:val="0"/>
              <w:autoSpaceDN w:val="0"/>
              <w:snapToGrid w:val="0"/>
              <w:spacing w:line="320" w:lineRule="exact"/>
              <w:ind w:firstLine="420" w:firstLineChars="200"/>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在“信用中国”网站（http://www.creditchina.gov.cn/）中被列入经营（活动）异常名录、重大税收违法失信主体名单和政府采购严重违法失信行为记录名单（均不含分公司）；</w:t>
            </w:r>
          </w:p>
          <w:p w14:paraId="6D160320">
            <w:pPr>
              <w:numPr>
                <w:ilvl w:val="0"/>
                <w:numId w:val="0"/>
              </w:numPr>
              <w:autoSpaceDE w:val="0"/>
              <w:autoSpaceDN w:val="0"/>
              <w:snapToGrid w:val="0"/>
              <w:spacing w:line="320" w:lineRule="exact"/>
              <w:ind w:firstLine="420" w:firstLineChars="200"/>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在中国执行信息公开网（zxgk.court.gov.cn）中被列入失信被执行人（不含分公司）。</w:t>
            </w:r>
          </w:p>
          <w:p w14:paraId="6651B841">
            <w:pPr>
              <w:numPr>
                <w:ilvl w:val="0"/>
                <w:numId w:val="0"/>
              </w:numPr>
              <w:adjustRightInd w:val="0"/>
              <w:snapToGrid w:val="0"/>
              <w:spacing w:line="320" w:lineRule="exact"/>
              <w:ind w:firstLine="0" w:firstLineChars="0"/>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68E6D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3" w:hRule="atLeast"/>
          <w:jc w:val="center"/>
        </w:trPr>
        <w:tc>
          <w:tcPr>
            <w:tcW w:w="959" w:type="dxa"/>
            <w:noWrap w:val="0"/>
            <w:vAlign w:val="center"/>
          </w:tcPr>
          <w:p w14:paraId="33D023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3" w:beforeLines="20" w:beforeAutospacing="0" w:after="63" w:afterLines="20" w:afterAutospacing="0"/>
              <w:ind w:left="0" w:leftChars="0" w:right="0" w:rightChars="0"/>
              <w:jc w:val="center"/>
              <w:textAlignment w:val="auto"/>
              <w:rPr>
                <w:rFonts w:ascii="宋体" w:hAnsi="宋体"/>
                <w:color w:val="auto"/>
                <w:sz w:val="21"/>
                <w:szCs w:val="21"/>
                <w:highlight w:val="none"/>
              </w:rPr>
            </w:pPr>
            <w:r>
              <w:rPr>
                <w:rFonts w:hint="eastAsia" w:ascii="宋体" w:hAnsi="宋体" w:eastAsia="宋体" w:cs="宋体"/>
                <w:color w:val="auto"/>
                <w:kern w:val="0"/>
                <w:sz w:val="21"/>
                <w:szCs w:val="21"/>
                <w:highlight w:val="none"/>
                <w:lang w:val="en-US" w:eastAsia="zh-CN" w:bidi="ar"/>
              </w:rPr>
              <w:t>3.6.3</w:t>
            </w:r>
          </w:p>
        </w:tc>
        <w:tc>
          <w:tcPr>
            <w:tcW w:w="1134" w:type="dxa"/>
            <w:noWrap w:val="0"/>
            <w:vAlign w:val="center"/>
          </w:tcPr>
          <w:p w14:paraId="3057A1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3" w:beforeLines="20" w:beforeAutospacing="0" w:after="63" w:afterLines="20" w:afterAutospacing="0"/>
              <w:ind w:left="0" w:leftChars="0" w:right="0" w:rightChars="0"/>
              <w:jc w:val="center"/>
              <w:textAlignment w:val="auto"/>
              <w:rPr>
                <w:rFonts w:ascii="宋体" w:hAnsi="宋体"/>
                <w:color w:val="auto"/>
                <w:sz w:val="21"/>
                <w:szCs w:val="21"/>
                <w:highlight w:val="none"/>
              </w:rPr>
            </w:pPr>
            <w:r>
              <w:rPr>
                <w:rFonts w:hint="eastAsia" w:ascii="宋体" w:hAnsi="宋体" w:eastAsia="宋体" w:cs="宋体"/>
                <w:color w:val="auto"/>
                <w:kern w:val="0"/>
                <w:sz w:val="21"/>
                <w:szCs w:val="21"/>
                <w:highlight w:val="none"/>
                <w:lang w:val="en-US" w:eastAsia="zh-CN" w:bidi="ar"/>
              </w:rPr>
              <w:t>投标人其他异常投标情形</w:t>
            </w:r>
          </w:p>
        </w:tc>
        <w:tc>
          <w:tcPr>
            <w:tcW w:w="7250" w:type="dxa"/>
            <w:noWrap w:val="0"/>
            <w:vAlign w:val="center"/>
          </w:tcPr>
          <w:p w14:paraId="19421D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3" w:beforeLines="20" w:beforeAutospacing="0" w:after="63" w:afterLines="20" w:afterAutospacing="0"/>
              <w:ind w:left="0" w:right="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评标委员会在评标过程中发现存在投标文件异常一致或投标活动异常关联等异常投标情形的，应当要求投标人在规定时间内作出书面说明并提供相应的证明材料。投标人不能合理说明或者不能提供相应证明材料的，评标委员会应当认定投标人存在投标文件异常一致或投标活动异常关联等异常投标情形，并否决其投标。</w:t>
            </w:r>
          </w:p>
          <w:p w14:paraId="40A2D5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3" w:beforeLines="20" w:beforeAutospacing="0" w:after="63" w:afterLines="20" w:afterAutospacing="0"/>
              <w:ind w:left="0" w:right="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有下列情形之一的，属于投标文件异常一致或投标活动异常关联等异常投标情形：</w:t>
            </w:r>
          </w:p>
          <w:p w14:paraId="14EE52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3" w:beforeLines="20" w:beforeAutospacing="0" w:after="63" w:afterLines="20" w:afterAutospacing="0"/>
              <w:ind w:left="0" w:right="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（1）投标人投标文件制作机器码雷同；</w:t>
            </w:r>
          </w:p>
          <w:p w14:paraId="4965F3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3" w:beforeLines="20" w:beforeAutospacing="0" w:after="63" w:afterLines="20" w:afterAutospacing="0"/>
              <w:ind w:left="0" w:right="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（2）投标文件创建标识码雷同；</w:t>
            </w:r>
          </w:p>
          <w:p w14:paraId="2D2FDE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3" w:beforeLines="20" w:beforeAutospacing="0" w:after="63" w:afterLines="20" w:afterAutospacing="0"/>
              <w:ind w:left="0" w:right="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（3）投标文件制作计算机MAC地址雷同；</w:t>
            </w:r>
          </w:p>
          <w:p w14:paraId="02CD27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3" w:beforeLines="20" w:beforeAutospacing="0" w:after="63" w:afterLines="20" w:afterAutospacing="0"/>
              <w:ind w:left="0" w:right="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（4）投标文件制作计算机硬盘序列号雷同；</w:t>
            </w:r>
          </w:p>
          <w:p w14:paraId="3CC2C0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3" w:beforeLines="20" w:beforeAutospacing="0" w:after="63" w:afterLines="20" w:afterAutospacing="0"/>
              <w:ind w:left="0" w:right="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（5）招标文件下载IP地址雷同；</w:t>
            </w:r>
          </w:p>
          <w:p w14:paraId="36609E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3" w:beforeLines="20" w:beforeAutospacing="0" w:after="63" w:afterLines="20" w:afterAutospacing="0"/>
              <w:ind w:left="0" w:right="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（6）投标文件上传IP地址雷同；</w:t>
            </w:r>
          </w:p>
          <w:p w14:paraId="1995E1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3" w:beforeLines="20" w:beforeAutospacing="0" w:after="63" w:afterLines="20" w:afterAutospacing="0"/>
              <w:ind w:left="0" w:leftChars="0" w:right="0" w:righ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（7）投标文件解密IP地址雷同。</w:t>
            </w:r>
          </w:p>
        </w:tc>
      </w:tr>
    </w:tbl>
    <w:p w14:paraId="2C42CCE4">
      <w:pPr>
        <w:jc w:val="right"/>
        <w:rPr>
          <w:color w:val="auto"/>
          <w:szCs w:val="21"/>
          <w:highlight w:val="none"/>
        </w:rPr>
      </w:pPr>
      <w:r>
        <w:rPr>
          <w:color w:val="auto"/>
          <w:sz w:val="24"/>
          <w:highlight w:val="none"/>
        </w:rPr>
        <w:br w:type="page"/>
      </w:r>
      <w:r>
        <w:rPr>
          <w:color w:val="auto"/>
          <w:sz w:val="24"/>
          <w:highlight w:val="none"/>
        </w:rPr>
        <w:t>续上表</w:t>
      </w:r>
    </w:p>
    <w:tbl>
      <w:tblPr>
        <w:tblStyle w:val="7"/>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624"/>
        <w:gridCol w:w="1134"/>
        <w:gridCol w:w="567"/>
        <w:gridCol w:w="5845"/>
      </w:tblGrid>
      <w:tr w14:paraId="7BC8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807" w:type="dxa"/>
            <w:gridSpan w:val="5"/>
            <w:noWrap w:val="0"/>
            <w:vAlign w:val="center"/>
          </w:tcPr>
          <w:p w14:paraId="4B48D86A">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评分因素与权重分值</w:t>
            </w:r>
          </w:p>
        </w:tc>
        <w:tc>
          <w:tcPr>
            <w:tcW w:w="5845" w:type="dxa"/>
            <w:vMerge w:val="restart"/>
            <w:noWrap w:val="0"/>
            <w:vAlign w:val="center"/>
          </w:tcPr>
          <w:p w14:paraId="0416F862">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评分标准</w:t>
            </w:r>
          </w:p>
        </w:tc>
      </w:tr>
      <w:tr w14:paraId="49654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3568F494">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条款号</w:t>
            </w:r>
          </w:p>
        </w:tc>
        <w:tc>
          <w:tcPr>
            <w:tcW w:w="741" w:type="dxa"/>
            <w:tcBorders>
              <w:top w:val="single" w:color="auto" w:sz="4" w:space="0"/>
              <w:left w:val="single" w:color="auto" w:sz="4" w:space="0"/>
              <w:bottom w:val="single" w:color="auto" w:sz="4" w:space="0"/>
              <w:right w:val="single" w:color="auto" w:sz="4" w:space="0"/>
            </w:tcBorders>
            <w:noWrap w:val="0"/>
            <w:vAlign w:val="center"/>
          </w:tcPr>
          <w:p w14:paraId="24C76E54">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评分因素</w:t>
            </w:r>
          </w:p>
        </w:tc>
        <w:tc>
          <w:tcPr>
            <w:tcW w:w="624" w:type="dxa"/>
            <w:tcBorders>
              <w:top w:val="single" w:color="auto" w:sz="4" w:space="0"/>
              <w:left w:val="single" w:color="auto" w:sz="4" w:space="0"/>
              <w:bottom w:val="single" w:color="auto" w:sz="4" w:space="0"/>
              <w:right w:val="single" w:color="auto" w:sz="4" w:space="0"/>
            </w:tcBorders>
            <w:noWrap w:val="0"/>
            <w:vAlign w:val="center"/>
          </w:tcPr>
          <w:p w14:paraId="4710EE68">
            <w:pPr>
              <w:widowControl w:val="0"/>
              <w:spacing w:line="160" w:lineRule="atLeast"/>
              <w:ind w:left="-53" w:leftChars="-19" w:right="-42" w:rightChars="-15" w:firstLine="1"/>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评分因素 权重分值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B3F6D7D">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pacing w:val="0"/>
                <w:w w:val="100"/>
                <w:kern w:val="28"/>
                <w:position w:val="0"/>
                <w:sz w:val="21"/>
                <w:szCs w:val="21"/>
                <w:highlight w:val="none"/>
                <w:u w:val="none"/>
                <w:shd w:val="clear" w:color="auto" w:fill="FFFFFF"/>
                <w:lang w:val="zh-CN" w:eastAsia="zh-CN" w:bidi="zh-CN"/>
              </w:rPr>
              <w:t>各评分因素细分项</w:t>
            </w:r>
          </w:p>
        </w:tc>
        <w:tc>
          <w:tcPr>
            <w:tcW w:w="567" w:type="dxa"/>
            <w:tcBorders>
              <w:left w:val="single" w:color="auto" w:sz="4" w:space="0"/>
            </w:tcBorders>
            <w:noWrap w:val="0"/>
            <w:vAlign w:val="center"/>
          </w:tcPr>
          <w:p w14:paraId="4C1F5034">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分值</w:t>
            </w:r>
          </w:p>
        </w:tc>
        <w:tc>
          <w:tcPr>
            <w:tcW w:w="5845" w:type="dxa"/>
            <w:vMerge w:val="continue"/>
            <w:noWrap w:val="0"/>
            <w:vAlign w:val="center"/>
          </w:tcPr>
          <w:p w14:paraId="0CE8D6C7">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r>
      <w:tr w14:paraId="35D07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741" w:type="dxa"/>
            <w:vMerge w:val="restart"/>
            <w:tcBorders>
              <w:top w:val="single" w:color="auto" w:sz="4" w:space="0"/>
            </w:tcBorders>
            <w:noWrap w:val="0"/>
            <w:vAlign w:val="center"/>
          </w:tcPr>
          <w:p w14:paraId="07D9FDA4">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2.2.4（1）</w:t>
            </w:r>
          </w:p>
        </w:tc>
        <w:tc>
          <w:tcPr>
            <w:tcW w:w="741" w:type="dxa"/>
            <w:vMerge w:val="restart"/>
            <w:tcBorders>
              <w:top w:val="single" w:color="auto" w:sz="4" w:space="0"/>
            </w:tcBorders>
            <w:noWrap w:val="0"/>
            <w:vAlign w:val="center"/>
          </w:tcPr>
          <w:p w14:paraId="1C4AC752">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实施方案</w:t>
            </w:r>
            <w:r>
              <w:rPr>
                <w:rFonts w:hint="eastAsia" w:cs="Times New Roman"/>
                <w:color w:val="auto"/>
                <w:kern w:val="2"/>
                <w:sz w:val="21"/>
                <w:szCs w:val="21"/>
                <w:highlight w:val="none"/>
                <w:lang w:val="en-US" w:eastAsia="zh-CN" w:bidi="ar-SA"/>
              </w:rPr>
              <w:t>（暗标）</w:t>
            </w:r>
          </w:p>
        </w:tc>
        <w:tc>
          <w:tcPr>
            <w:tcW w:w="624" w:type="dxa"/>
            <w:vMerge w:val="restart"/>
            <w:tcBorders>
              <w:top w:val="single" w:color="auto" w:sz="4" w:space="0"/>
            </w:tcBorders>
            <w:noWrap w:val="0"/>
            <w:vAlign w:val="center"/>
          </w:tcPr>
          <w:p w14:paraId="6352329D">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r>
              <w:rPr>
                <w:rFonts w:ascii="Times New Roman" w:hAnsi="Times New Roman" w:eastAsia="宋体" w:cs="Times New Roman"/>
                <w:color w:val="auto"/>
                <w:kern w:val="2"/>
                <w:sz w:val="21"/>
                <w:szCs w:val="21"/>
                <w:highlight w:val="none"/>
                <w:lang w:val="en-US" w:eastAsia="zh-CN" w:bidi="ar-SA"/>
              </w:rPr>
              <w:t>分</w:t>
            </w:r>
          </w:p>
        </w:tc>
        <w:tc>
          <w:tcPr>
            <w:tcW w:w="1134" w:type="dxa"/>
            <w:vMerge w:val="restart"/>
            <w:tcBorders>
              <w:top w:val="single" w:color="auto" w:sz="4" w:space="0"/>
            </w:tcBorders>
            <w:noWrap w:val="0"/>
            <w:vAlign w:val="center"/>
          </w:tcPr>
          <w:p w14:paraId="790B3030">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工作</w:t>
            </w:r>
            <w:r>
              <w:rPr>
                <w:rFonts w:ascii="Times New Roman" w:hAnsi="Times New Roman" w:eastAsia="宋体" w:cs="Times New Roman"/>
                <w:color w:val="auto"/>
                <w:kern w:val="2"/>
                <w:sz w:val="21"/>
                <w:szCs w:val="21"/>
                <w:highlight w:val="none"/>
                <w:lang w:val="en-US" w:eastAsia="zh-CN" w:bidi="ar-SA"/>
              </w:rPr>
              <w:t>范围、内容、步骤和程序</w:t>
            </w:r>
          </w:p>
        </w:tc>
        <w:tc>
          <w:tcPr>
            <w:tcW w:w="567" w:type="dxa"/>
            <w:vMerge w:val="restart"/>
            <w:noWrap w:val="0"/>
            <w:vAlign w:val="center"/>
          </w:tcPr>
          <w:p w14:paraId="63FDD9E1">
            <w:pPr>
              <w:widowControl w:val="0"/>
              <w:spacing w:line="160" w:lineRule="atLeast"/>
              <w:ind w:leftChars="-48" w:right="-42" w:rightChars="-15" w:hanging="134" w:hangingChars="64"/>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15</w:t>
            </w:r>
            <w:r>
              <w:rPr>
                <w:rFonts w:ascii="Times New Roman" w:hAnsi="Times New Roman" w:eastAsia="宋体" w:cs="Times New Roman"/>
                <w:color w:val="auto"/>
                <w:kern w:val="2"/>
                <w:sz w:val="21"/>
                <w:szCs w:val="21"/>
                <w:highlight w:val="none"/>
                <w:lang w:val="en-US" w:eastAsia="zh-CN" w:bidi="ar-SA"/>
              </w:rPr>
              <w:t>分</w:t>
            </w:r>
          </w:p>
        </w:tc>
        <w:tc>
          <w:tcPr>
            <w:tcW w:w="5845" w:type="dxa"/>
            <w:noWrap w:val="0"/>
            <w:vAlign w:val="center"/>
          </w:tcPr>
          <w:p w14:paraId="40FA6ECC">
            <w:pPr>
              <w:widowControl w:val="0"/>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描述</w:t>
            </w:r>
            <w:r>
              <w:rPr>
                <w:rFonts w:hint="eastAsia" w:ascii="Times New Roman" w:hAnsi="Times New Roman" w:eastAsia="宋体" w:cs="Times New Roman"/>
                <w:color w:val="auto"/>
                <w:kern w:val="2"/>
                <w:sz w:val="21"/>
                <w:szCs w:val="21"/>
                <w:highlight w:val="none"/>
                <w:lang w:val="en-US" w:eastAsia="zh-CN" w:bidi="ar-SA"/>
              </w:rPr>
              <w:t>一般</w:t>
            </w:r>
            <w:r>
              <w:rPr>
                <w:rFonts w:ascii="Times New Roman" w:hAnsi="Times New Roman" w:eastAsia="宋体" w:cs="Times New Roman"/>
                <w:color w:val="auto"/>
                <w:kern w:val="2"/>
                <w:sz w:val="21"/>
                <w:szCs w:val="21"/>
                <w:highlight w:val="none"/>
                <w:lang w:val="en-US" w:eastAsia="zh-CN" w:bidi="ar-SA"/>
              </w:rPr>
              <w:t>，步骤、程序、可行性一般，得</w:t>
            </w:r>
            <w:r>
              <w:rPr>
                <w:rFonts w:hint="eastAsia" w:ascii="Times New Roman" w:hAnsi="Times New Roman" w:eastAsia="宋体" w:cs="Times New Roman"/>
                <w:color w:val="auto"/>
                <w:kern w:val="2"/>
                <w:sz w:val="21"/>
                <w:szCs w:val="21"/>
                <w:highlight w:val="none"/>
                <w:lang w:val="en-US" w:eastAsia="zh-CN" w:bidi="ar-SA"/>
              </w:rPr>
              <w:t>9</w:t>
            </w:r>
            <w:r>
              <w:rPr>
                <w:rFonts w:ascii="Times New Roman" w:hAnsi="Times New Roman" w:eastAsia="宋体" w:cs="Times New Roman"/>
                <w:color w:val="auto"/>
                <w:kern w:val="2"/>
                <w:sz w:val="21"/>
                <w:szCs w:val="21"/>
                <w:highlight w:val="none"/>
                <w:lang w:val="en-US" w:eastAsia="zh-CN" w:bidi="ar-SA"/>
              </w:rPr>
              <w:t>分；</w:t>
            </w:r>
          </w:p>
          <w:p w14:paraId="343FED28">
            <w:pPr>
              <w:widowControl w:val="0"/>
              <w:jc w:val="left"/>
              <w:rPr>
                <w:rFonts w:ascii="Times New Roman" w:hAnsi="Times New Roman" w:eastAsia="宋体" w:cs="Times New Roman"/>
                <w:color w:val="auto"/>
                <w:spacing w:val="-4"/>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描述较准确、步骤和程序较全面、具备一定可行性</w:t>
            </w:r>
            <w:r>
              <w:rPr>
                <w:rFonts w:ascii="Times New Roman" w:hAnsi="Times New Roman" w:eastAsia="宋体" w:cs="Times New Roman"/>
                <w:color w:val="auto"/>
                <w:spacing w:val="-4"/>
                <w:kern w:val="2"/>
                <w:sz w:val="21"/>
                <w:szCs w:val="21"/>
                <w:highlight w:val="none"/>
                <w:lang w:val="en-US" w:eastAsia="zh-CN" w:bidi="ar-SA"/>
              </w:rPr>
              <w:t>，得</w:t>
            </w:r>
            <w:r>
              <w:rPr>
                <w:rFonts w:hint="eastAsia" w:ascii="Times New Roman" w:hAnsi="Times New Roman" w:eastAsia="宋体" w:cs="Times New Roman"/>
                <w:color w:val="auto"/>
                <w:kern w:val="2"/>
                <w:sz w:val="21"/>
                <w:szCs w:val="21"/>
                <w:highlight w:val="none"/>
                <w:lang w:val="en-US" w:eastAsia="zh-CN" w:bidi="ar-SA"/>
              </w:rPr>
              <w:t>9</w:t>
            </w:r>
            <w:r>
              <w:rPr>
                <w:rFonts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12</w:t>
            </w:r>
            <w:r>
              <w:rPr>
                <w:rFonts w:ascii="Times New Roman" w:hAnsi="Times New Roman" w:eastAsia="宋体" w:cs="Times New Roman"/>
                <w:color w:val="auto"/>
                <w:spacing w:val="-4"/>
                <w:kern w:val="2"/>
                <w:sz w:val="21"/>
                <w:szCs w:val="21"/>
                <w:highlight w:val="none"/>
                <w:lang w:val="en-US" w:eastAsia="zh-CN" w:bidi="ar-SA"/>
              </w:rPr>
              <w:t>分；</w:t>
            </w:r>
          </w:p>
          <w:p w14:paraId="17A399C5">
            <w:pPr>
              <w:widowControl w:val="0"/>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描述准确、步骤和程序全面、具体、可行，得</w:t>
            </w:r>
            <w:r>
              <w:rPr>
                <w:rFonts w:hint="eastAsia" w:ascii="Times New Roman" w:hAnsi="Times New Roman" w:eastAsia="宋体" w:cs="Times New Roman"/>
                <w:color w:val="auto"/>
                <w:kern w:val="2"/>
                <w:sz w:val="21"/>
                <w:szCs w:val="21"/>
                <w:highlight w:val="none"/>
                <w:lang w:val="en-US" w:eastAsia="zh-CN" w:bidi="ar-SA"/>
              </w:rPr>
              <w:t>12</w:t>
            </w:r>
            <w:r>
              <w:rPr>
                <w:rFonts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15</w:t>
            </w:r>
            <w:r>
              <w:rPr>
                <w:rFonts w:ascii="Times New Roman" w:hAnsi="Times New Roman" w:eastAsia="宋体" w:cs="Times New Roman"/>
                <w:color w:val="auto"/>
                <w:kern w:val="2"/>
                <w:sz w:val="21"/>
                <w:szCs w:val="21"/>
                <w:highlight w:val="none"/>
                <w:lang w:val="en-US" w:eastAsia="zh-CN" w:bidi="ar-SA"/>
              </w:rPr>
              <w:t>分。</w:t>
            </w:r>
          </w:p>
        </w:tc>
      </w:tr>
      <w:tr w14:paraId="5C82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741" w:type="dxa"/>
            <w:vMerge w:val="continue"/>
            <w:noWrap w:val="0"/>
            <w:vAlign w:val="center"/>
          </w:tcPr>
          <w:p w14:paraId="07DB08C2">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c>
          <w:tcPr>
            <w:tcW w:w="741" w:type="dxa"/>
            <w:vMerge w:val="continue"/>
            <w:noWrap w:val="0"/>
            <w:vAlign w:val="top"/>
          </w:tcPr>
          <w:p w14:paraId="34D966CC">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c>
          <w:tcPr>
            <w:tcW w:w="624" w:type="dxa"/>
            <w:vMerge w:val="continue"/>
            <w:noWrap w:val="0"/>
            <w:vAlign w:val="center"/>
          </w:tcPr>
          <w:p w14:paraId="462C63AB">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c>
          <w:tcPr>
            <w:tcW w:w="1134" w:type="dxa"/>
            <w:vMerge w:val="restart"/>
            <w:noWrap w:val="0"/>
            <w:vAlign w:val="center"/>
          </w:tcPr>
          <w:p w14:paraId="67483B2D">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工作</w:t>
            </w:r>
            <w:r>
              <w:rPr>
                <w:rFonts w:ascii="Times New Roman" w:hAnsi="Times New Roman" w:eastAsia="宋体" w:cs="Times New Roman"/>
                <w:color w:val="auto"/>
                <w:kern w:val="2"/>
                <w:sz w:val="21"/>
                <w:szCs w:val="21"/>
                <w:highlight w:val="none"/>
                <w:lang w:val="en-US" w:eastAsia="zh-CN" w:bidi="ar-SA"/>
              </w:rPr>
              <w:t>重点及难点分析</w:t>
            </w:r>
          </w:p>
        </w:tc>
        <w:tc>
          <w:tcPr>
            <w:tcW w:w="567" w:type="dxa"/>
            <w:vMerge w:val="restart"/>
            <w:noWrap w:val="0"/>
            <w:vAlign w:val="center"/>
          </w:tcPr>
          <w:p w14:paraId="41362284">
            <w:pPr>
              <w:widowControl w:val="0"/>
              <w:spacing w:line="160" w:lineRule="atLeast"/>
              <w:ind w:leftChars="-48" w:right="-42" w:rightChars="-15" w:hanging="134" w:hangingChars="64"/>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15</w:t>
            </w:r>
            <w:r>
              <w:rPr>
                <w:rFonts w:ascii="Times New Roman" w:hAnsi="Times New Roman" w:eastAsia="宋体" w:cs="Times New Roman"/>
                <w:color w:val="auto"/>
                <w:kern w:val="2"/>
                <w:sz w:val="21"/>
                <w:szCs w:val="21"/>
                <w:highlight w:val="none"/>
                <w:lang w:val="en-US" w:eastAsia="zh-CN" w:bidi="ar-SA"/>
              </w:rPr>
              <w:t>分</w:t>
            </w:r>
          </w:p>
        </w:tc>
        <w:tc>
          <w:tcPr>
            <w:tcW w:w="5845" w:type="dxa"/>
            <w:noWrap w:val="0"/>
            <w:vAlign w:val="center"/>
          </w:tcPr>
          <w:p w14:paraId="4695AF1F">
            <w:pPr>
              <w:widowControl w:val="0"/>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一般，得</w:t>
            </w:r>
            <w:r>
              <w:rPr>
                <w:rFonts w:hint="eastAsia" w:ascii="Times New Roman" w:hAnsi="Times New Roman" w:eastAsia="宋体" w:cs="Times New Roman"/>
                <w:color w:val="auto"/>
                <w:kern w:val="2"/>
                <w:sz w:val="21"/>
                <w:szCs w:val="21"/>
                <w:highlight w:val="none"/>
                <w:lang w:val="en-US" w:eastAsia="zh-CN" w:bidi="ar-SA"/>
              </w:rPr>
              <w:t>9</w:t>
            </w:r>
            <w:r>
              <w:rPr>
                <w:rFonts w:ascii="Times New Roman" w:hAnsi="Times New Roman" w:eastAsia="宋体" w:cs="Times New Roman"/>
                <w:color w:val="auto"/>
                <w:kern w:val="2"/>
                <w:sz w:val="21"/>
                <w:szCs w:val="21"/>
                <w:highlight w:val="none"/>
                <w:lang w:val="en-US" w:eastAsia="zh-CN" w:bidi="ar-SA"/>
              </w:rPr>
              <w:t>分；</w:t>
            </w:r>
          </w:p>
          <w:p w14:paraId="798DA9DC">
            <w:pPr>
              <w:widowControl w:val="0"/>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分析较全面、措施较得力</w:t>
            </w:r>
            <w:r>
              <w:rPr>
                <w:rFonts w:hint="eastAsia" w:ascii="Times New Roman" w:hAnsi="Times New Roman" w:eastAsia="宋体" w:cs="Times New Roman"/>
                <w:color w:val="auto"/>
                <w:kern w:val="2"/>
                <w:sz w:val="21"/>
                <w:szCs w:val="21"/>
                <w:highlight w:val="none"/>
                <w:lang w:val="en-US" w:eastAsia="zh-CN" w:bidi="ar-SA"/>
              </w:rPr>
              <w:t>，得9－12</w:t>
            </w:r>
            <w:r>
              <w:rPr>
                <w:rFonts w:ascii="Times New Roman" w:hAnsi="Times New Roman" w:eastAsia="宋体" w:cs="Times New Roman"/>
                <w:color w:val="auto"/>
                <w:kern w:val="2"/>
                <w:sz w:val="21"/>
                <w:szCs w:val="21"/>
                <w:highlight w:val="none"/>
                <w:lang w:val="en-US" w:eastAsia="zh-CN" w:bidi="ar-SA"/>
              </w:rPr>
              <w:t>分；</w:t>
            </w:r>
          </w:p>
          <w:p w14:paraId="66FA6BFD">
            <w:pPr>
              <w:widowControl w:val="0"/>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分析透彻、措施具体得力，得</w:t>
            </w:r>
            <w:r>
              <w:rPr>
                <w:rFonts w:hint="eastAsia" w:ascii="Times New Roman" w:hAnsi="Times New Roman" w:eastAsia="宋体" w:cs="Times New Roman"/>
                <w:color w:val="auto"/>
                <w:kern w:val="2"/>
                <w:sz w:val="21"/>
                <w:szCs w:val="21"/>
                <w:highlight w:val="none"/>
                <w:lang w:val="en-US" w:eastAsia="zh-CN" w:bidi="ar-SA"/>
              </w:rPr>
              <w:t>12</w:t>
            </w:r>
            <w:r>
              <w:rPr>
                <w:rFonts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15</w:t>
            </w:r>
            <w:r>
              <w:rPr>
                <w:rFonts w:ascii="Times New Roman" w:hAnsi="Times New Roman" w:eastAsia="宋体" w:cs="Times New Roman"/>
                <w:color w:val="auto"/>
                <w:kern w:val="2"/>
                <w:sz w:val="21"/>
                <w:szCs w:val="21"/>
                <w:highlight w:val="none"/>
                <w:lang w:val="en-US" w:eastAsia="zh-CN" w:bidi="ar-SA"/>
              </w:rPr>
              <w:t>分。</w:t>
            </w:r>
          </w:p>
        </w:tc>
      </w:tr>
      <w:tr w14:paraId="48BA9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atLeast"/>
          <w:jc w:val="center"/>
        </w:trPr>
        <w:tc>
          <w:tcPr>
            <w:tcW w:w="741" w:type="dxa"/>
            <w:vMerge w:val="continue"/>
            <w:noWrap w:val="0"/>
            <w:vAlign w:val="center"/>
          </w:tcPr>
          <w:p w14:paraId="4FE534E2">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c>
          <w:tcPr>
            <w:tcW w:w="741" w:type="dxa"/>
            <w:vMerge w:val="continue"/>
            <w:noWrap w:val="0"/>
            <w:vAlign w:val="top"/>
          </w:tcPr>
          <w:p w14:paraId="4ECAC034">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c>
          <w:tcPr>
            <w:tcW w:w="624" w:type="dxa"/>
            <w:vMerge w:val="continue"/>
            <w:noWrap w:val="0"/>
            <w:vAlign w:val="center"/>
          </w:tcPr>
          <w:p w14:paraId="29604B30">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c>
          <w:tcPr>
            <w:tcW w:w="1134" w:type="dxa"/>
            <w:noWrap w:val="0"/>
            <w:vAlign w:val="center"/>
          </w:tcPr>
          <w:p w14:paraId="0ABAF65E">
            <w:pPr>
              <w:widowControl w:val="0"/>
              <w:spacing w:line="160" w:lineRule="atLeast"/>
              <w:ind w:right="-78" w:rightChars="-28"/>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工作质量</w:t>
            </w:r>
            <w:r>
              <w:rPr>
                <w:rFonts w:hint="eastAsia" w:ascii="Times New Roman" w:hAnsi="Times New Roman" w:eastAsia="宋体" w:cs="Times New Roman"/>
                <w:color w:val="auto"/>
                <w:kern w:val="2"/>
                <w:sz w:val="21"/>
                <w:szCs w:val="21"/>
                <w:highlight w:val="none"/>
                <w:lang w:val="en-US" w:eastAsia="zh-CN" w:bidi="ar-SA"/>
              </w:rPr>
              <w:t>、进度</w:t>
            </w:r>
            <w:r>
              <w:rPr>
                <w:rFonts w:ascii="Times New Roman" w:hAnsi="Times New Roman" w:eastAsia="宋体" w:cs="Times New Roman"/>
                <w:color w:val="auto"/>
                <w:kern w:val="2"/>
                <w:sz w:val="21"/>
                <w:szCs w:val="21"/>
                <w:highlight w:val="none"/>
                <w:lang w:val="en-US" w:eastAsia="zh-CN" w:bidi="ar-SA"/>
              </w:rPr>
              <w:t>控制方法及措施</w:t>
            </w:r>
          </w:p>
        </w:tc>
        <w:tc>
          <w:tcPr>
            <w:tcW w:w="567" w:type="dxa"/>
            <w:noWrap w:val="0"/>
            <w:vAlign w:val="center"/>
          </w:tcPr>
          <w:p w14:paraId="51679EF2">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10</w:t>
            </w:r>
            <w:r>
              <w:rPr>
                <w:rFonts w:ascii="Times New Roman" w:hAnsi="Times New Roman" w:eastAsia="宋体" w:cs="Times New Roman"/>
                <w:color w:val="auto"/>
                <w:kern w:val="2"/>
                <w:sz w:val="21"/>
                <w:szCs w:val="21"/>
                <w:highlight w:val="none"/>
                <w:lang w:val="en-US" w:eastAsia="zh-CN" w:bidi="ar-SA"/>
              </w:rPr>
              <w:t>分</w:t>
            </w:r>
          </w:p>
        </w:tc>
        <w:tc>
          <w:tcPr>
            <w:tcW w:w="5845" w:type="dxa"/>
            <w:tcBorders>
              <w:bottom w:val="single" w:color="auto" w:sz="4" w:space="0"/>
            </w:tcBorders>
            <w:noWrap w:val="0"/>
            <w:vAlign w:val="center"/>
          </w:tcPr>
          <w:p w14:paraId="6B9E35A0">
            <w:pPr>
              <w:widowControl w:val="0"/>
              <w:spacing w:line="300" w:lineRule="exact"/>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拟采取的控制方法及措施符合法律法规要求，针对性、可操作性一般，得</w:t>
            </w:r>
            <w:r>
              <w:rPr>
                <w:rFonts w:hint="eastAsia" w:ascii="Times New Roman" w:hAnsi="Times New Roman" w:eastAsia="宋体" w:cs="Times New Roman"/>
                <w:color w:val="auto"/>
                <w:kern w:val="2"/>
                <w:sz w:val="21"/>
                <w:szCs w:val="21"/>
                <w:highlight w:val="none"/>
                <w:lang w:val="en-US" w:eastAsia="zh-CN" w:bidi="ar-SA"/>
              </w:rPr>
              <w:t>6</w:t>
            </w:r>
            <w:r>
              <w:rPr>
                <w:rFonts w:ascii="Times New Roman" w:hAnsi="Times New Roman" w:eastAsia="宋体" w:cs="Times New Roman"/>
                <w:color w:val="auto"/>
                <w:kern w:val="2"/>
                <w:sz w:val="21"/>
                <w:szCs w:val="21"/>
                <w:highlight w:val="none"/>
                <w:lang w:val="en-US" w:eastAsia="zh-CN" w:bidi="ar-SA"/>
              </w:rPr>
              <w:t>分；</w:t>
            </w:r>
          </w:p>
          <w:p w14:paraId="0C6D515E">
            <w:pPr>
              <w:widowControl w:val="0"/>
              <w:spacing w:line="300" w:lineRule="exact"/>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拟采取的控制方法及措施符合法律法规要求，针对性、可操作性较强，得</w:t>
            </w:r>
            <w:r>
              <w:rPr>
                <w:rFonts w:hint="eastAsia" w:ascii="Times New Roman" w:hAnsi="Times New Roman" w:eastAsia="宋体" w:cs="Times New Roman"/>
                <w:color w:val="auto"/>
                <w:kern w:val="2"/>
                <w:sz w:val="21"/>
                <w:szCs w:val="21"/>
                <w:highlight w:val="none"/>
                <w:lang w:val="en-US" w:eastAsia="zh-CN" w:bidi="ar-SA"/>
              </w:rPr>
              <w:t>6</w:t>
            </w:r>
            <w:r>
              <w:rPr>
                <w:rFonts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8</w:t>
            </w:r>
            <w:r>
              <w:rPr>
                <w:rFonts w:ascii="Times New Roman" w:hAnsi="Times New Roman" w:eastAsia="宋体" w:cs="Times New Roman"/>
                <w:color w:val="auto"/>
                <w:kern w:val="2"/>
                <w:sz w:val="21"/>
                <w:szCs w:val="21"/>
                <w:highlight w:val="none"/>
                <w:lang w:val="en-US" w:eastAsia="zh-CN" w:bidi="ar-SA"/>
              </w:rPr>
              <w:t>分；</w:t>
            </w:r>
          </w:p>
          <w:p w14:paraId="15C7AA47">
            <w:pPr>
              <w:widowControl w:val="0"/>
              <w:spacing w:line="300" w:lineRule="exact"/>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拟采取的控制方法及措施符合法律法规要求，针对性、可操作性强，得</w:t>
            </w:r>
            <w:r>
              <w:rPr>
                <w:rFonts w:hint="eastAsia" w:ascii="Times New Roman" w:hAnsi="Times New Roman" w:eastAsia="宋体" w:cs="Times New Roman"/>
                <w:color w:val="auto"/>
                <w:kern w:val="2"/>
                <w:sz w:val="21"/>
                <w:szCs w:val="21"/>
                <w:highlight w:val="none"/>
                <w:lang w:val="en-US" w:eastAsia="zh-CN" w:bidi="ar-SA"/>
              </w:rPr>
              <w:t>8</w:t>
            </w:r>
            <w:r>
              <w:rPr>
                <w:rFonts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10</w:t>
            </w:r>
            <w:r>
              <w:rPr>
                <w:rFonts w:ascii="Times New Roman" w:hAnsi="Times New Roman" w:eastAsia="宋体" w:cs="Times New Roman"/>
                <w:color w:val="auto"/>
                <w:kern w:val="2"/>
                <w:sz w:val="21"/>
                <w:szCs w:val="21"/>
                <w:highlight w:val="none"/>
                <w:lang w:val="en-US" w:eastAsia="zh-CN" w:bidi="ar-SA"/>
              </w:rPr>
              <w:t>分。</w:t>
            </w:r>
          </w:p>
        </w:tc>
      </w:tr>
      <w:tr w14:paraId="10A8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741" w:type="dxa"/>
            <w:vMerge w:val="restart"/>
            <w:tcBorders>
              <w:top w:val="nil"/>
            </w:tcBorders>
            <w:noWrap w:val="0"/>
            <w:vAlign w:val="center"/>
          </w:tcPr>
          <w:p w14:paraId="1259D263">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2.2.4（2）</w:t>
            </w:r>
          </w:p>
        </w:tc>
        <w:tc>
          <w:tcPr>
            <w:tcW w:w="741" w:type="dxa"/>
            <w:vMerge w:val="restart"/>
            <w:tcBorders>
              <w:top w:val="nil"/>
            </w:tcBorders>
            <w:noWrap w:val="0"/>
            <w:vAlign w:val="center"/>
          </w:tcPr>
          <w:p w14:paraId="0DC6D635">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主要人员</w:t>
            </w:r>
          </w:p>
        </w:tc>
        <w:tc>
          <w:tcPr>
            <w:tcW w:w="624" w:type="dxa"/>
            <w:vMerge w:val="restart"/>
            <w:tcBorders>
              <w:top w:val="nil"/>
            </w:tcBorders>
            <w:noWrap w:val="0"/>
            <w:vAlign w:val="center"/>
          </w:tcPr>
          <w:p w14:paraId="3D8BD950">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15</w:t>
            </w:r>
            <w:r>
              <w:rPr>
                <w:rFonts w:ascii="Times New Roman" w:hAnsi="Times New Roman" w:eastAsia="宋体" w:cs="Times New Roman"/>
                <w:color w:val="auto"/>
                <w:kern w:val="2"/>
                <w:sz w:val="21"/>
                <w:szCs w:val="21"/>
                <w:highlight w:val="none"/>
                <w:lang w:val="en-US" w:eastAsia="zh-CN" w:bidi="ar-SA"/>
              </w:rPr>
              <w:t>分</w:t>
            </w:r>
          </w:p>
        </w:tc>
        <w:tc>
          <w:tcPr>
            <w:tcW w:w="1134" w:type="dxa"/>
            <w:tcBorders>
              <w:bottom w:val="single" w:color="auto" w:sz="4" w:space="0"/>
            </w:tcBorders>
            <w:noWrap w:val="0"/>
            <w:vAlign w:val="center"/>
          </w:tcPr>
          <w:p w14:paraId="27F5C3EB">
            <w:pPr>
              <w:jc w:val="center"/>
              <w:rPr>
                <w:color w:val="auto"/>
                <w:kern w:val="2"/>
                <w:sz w:val="21"/>
                <w:szCs w:val="21"/>
                <w:highlight w:val="none"/>
              </w:rPr>
            </w:pPr>
            <w:r>
              <w:rPr>
                <w:color w:val="auto"/>
                <w:kern w:val="2"/>
                <w:sz w:val="21"/>
                <w:szCs w:val="21"/>
                <w:highlight w:val="none"/>
              </w:rPr>
              <w:t>项目负责人</w:t>
            </w:r>
          </w:p>
        </w:tc>
        <w:tc>
          <w:tcPr>
            <w:tcW w:w="567" w:type="dxa"/>
            <w:tcBorders>
              <w:bottom w:val="single" w:color="auto" w:sz="4" w:space="0"/>
            </w:tcBorders>
            <w:noWrap w:val="0"/>
            <w:vAlign w:val="center"/>
          </w:tcPr>
          <w:p w14:paraId="5A85B22F">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w:t>
            </w:r>
            <w:r>
              <w:rPr>
                <w:rFonts w:ascii="Times New Roman" w:hAnsi="Times New Roman" w:eastAsia="宋体" w:cs="Times New Roman"/>
                <w:color w:val="auto"/>
                <w:kern w:val="2"/>
                <w:sz w:val="21"/>
                <w:szCs w:val="21"/>
                <w:highlight w:val="none"/>
                <w:lang w:val="en-US" w:eastAsia="zh-CN" w:bidi="ar-SA"/>
              </w:rPr>
              <w:t>分</w:t>
            </w:r>
          </w:p>
        </w:tc>
        <w:tc>
          <w:tcPr>
            <w:tcW w:w="5845" w:type="dxa"/>
            <w:tcBorders>
              <w:bottom w:val="single" w:color="auto" w:sz="4" w:space="0"/>
            </w:tcBorders>
            <w:noWrap w:val="0"/>
            <w:vAlign w:val="center"/>
          </w:tcPr>
          <w:p w14:paraId="6177540F">
            <w:pPr>
              <w:widowControl w:val="0"/>
              <w:numPr>
                <w:ilvl w:val="0"/>
                <w:numId w:val="0"/>
              </w:numPr>
              <w:jc w:val="both"/>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1.投标人满足“资格审查条件（项目负责人最低要求）”得3分，</w:t>
            </w:r>
          </w:p>
          <w:p w14:paraId="7DDBBBFA">
            <w:pPr>
              <w:widowControl w:val="0"/>
              <w:numPr>
                <w:ilvl w:val="0"/>
                <w:numId w:val="0"/>
              </w:numPr>
              <w:jc w:val="both"/>
              <w:rPr>
                <w:rFonts w:hint="eastAsia" w:ascii="宋体" w:hAnsi="宋体" w:eastAsia="宋体" w:cs="宋体"/>
                <w:color w:val="auto"/>
                <w:kern w:val="2"/>
                <w:sz w:val="28"/>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2</w:t>
            </w: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kern w:val="2"/>
                <w:sz w:val="21"/>
                <w:szCs w:val="24"/>
                <w:highlight w:val="none"/>
                <w:lang w:val="en-US" w:eastAsia="zh-CN" w:bidi="ar-SA"/>
              </w:rPr>
              <w:t>每增加1项满足“资格审查条件（项目负责人最低要求）”的业绩加</w:t>
            </w:r>
            <w:r>
              <w:rPr>
                <w:rFonts w:hint="eastAsia" w:ascii="宋体" w:hAnsi="宋体" w:cs="宋体"/>
                <w:color w:val="auto"/>
                <w:kern w:val="2"/>
                <w:sz w:val="21"/>
                <w:szCs w:val="24"/>
                <w:highlight w:val="none"/>
                <w:lang w:val="en-US" w:eastAsia="zh-CN" w:bidi="ar-SA"/>
              </w:rPr>
              <w:t>1</w:t>
            </w:r>
            <w:r>
              <w:rPr>
                <w:rFonts w:hint="eastAsia" w:ascii="宋体" w:hAnsi="宋体" w:eastAsia="宋体" w:cs="宋体"/>
                <w:color w:val="auto"/>
                <w:kern w:val="2"/>
                <w:sz w:val="21"/>
                <w:szCs w:val="24"/>
                <w:highlight w:val="none"/>
                <w:lang w:val="en-US" w:eastAsia="zh-CN" w:bidi="ar-SA"/>
              </w:rPr>
              <w:t>分，最多加2分。</w:t>
            </w:r>
          </w:p>
        </w:tc>
      </w:tr>
      <w:tr w14:paraId="270F4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741" w:type="dxa"/>
            <w:vMerge w:val="continue"/>
            <w:noWrap w:val="0"/>
            <w:vAlign w:val="center"/>
          </w:tcPr>
          <w:p w14:paraId="59B691AD">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c>
          <w:tcPr>
            <w:tcW w:w="741" w:type="dxa"/>
            <w:vMerge w:val="continue"/>
            <w:noWrap w:val="0"/>
            <w:vAlign w:val="center"/>
          </w:tcPr>
          <w:p w14:paraId="5123C014">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c>
          <w:tcPr>
            <w:tcW w:w="624" w:type="dxa"/>
            <w:vMerge w:val="continue"/>
            <w:noWrap w:val="0"/>
            <w:vAlign w:val="center"/>
          </w:tcPr>
          <w:p w14:paraId="0834F321">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c>
          <w:tcPr>
            <w:tcW w:w="1134" w:type="dxa"/>
            <w:tcBorders>
              <w:bottom w:val="single" w:color="auto" w:sz="4" w:space="0"/>
            </w:tcBorders>
            <w:noWrap w:val="0"/>
            <w:vAlign w:val="center"/>
          </w:tcPr>
          <w:p w14:paraId="67397469">
            <w:pPr>
              <w:rPr>
                <w:color w:val="auto"/>
                <w:kern w:val="2"/>
                <w:sz w:val="21"/>
                <w:szCs w:val="21"/>
                <w:highlight w:val="none"/>
              </w:rPr>
            </w:pPr>
            <w:r>
              <w:rPr>
                <w:rFonts w:hint="eastAsia"/>
                <w:color w:val="auto"/>
                <w:kern w:val="2"/>
                <w:sz w:val="21"/>
                <w:szCs w:val="21"/>
                <w:highlight w:val="none"/>
              </w:rPr>
              <w:t>其他人员</w:t>
            </w:r>
          </w:p>
        </w:tc>
        <w:tc>
          <w:tcPr>
            <w:tcW w:w="567" w:type="dxa"/>
            <w:tcBorders>
              <w:bottom w:val="single" w:color="auto" w:sz="4" w:space="0"/>
            </w:tcBorders>
            <w:noWrap w:val="0"/>
            <w:vAlign w:val="center"/>
          </w:tcPr>
          <w:p w14:paraId="68917DCE">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r>
              <w:rPr>
                <w:rFonts w:ascii="Times New Roman" w:hAnsi="Times New Roman" w:eastAsia="宋体" w:cs="Times New Roman"/>
                <w:color w:val="auto"/>
                <w:kern w:val="2"/>
                <w:sz w:val="21"/>
                <w:szCs w:val="21"/>
                <w:highlight w:val="none"/>
                <w:lang w:val="en-US" w:eastAsia="zh-CN" w:bidi="ar-SA"/>
              </w:rPr>
              <w:t>0分</w:t>
            </w:r>
          </w:p>
        </w:tc>
        <w:tc>
          <w:tcPr>
            <w:tcW w:w="5845" w:type="dxa"/>
            <w:tcBorders>
              <w:bottom w:val="single" w:color="auto" w:sz="4" w:space="0"/>
            </w:tcBorders>
            <w:noWrap w:val="0"/>
            <w:vAlign w:val="center"/>
          </w:tcPr>
          <w:p w14:paraId="6951288C">
            <w:pPr>
              <w:widowControl w:val="0"/>
              <w:numPr>
                <w:ilvl w:val="0"/>
                <w:numId w:val="0"/>
              </w:numPr>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1.投标人满足“资格审查条件（其他人员最低要求）”得6分。2.其他人员中每增加1名持有高级会计师证书人员加1分，每增加一名持有注册会计师证书人员加2分，最高加4分。</w:t>
            </w:r>
          </w:p>
          <w:p w14:paraId="7C54781B">
            <w:pPr>
              <w:widowControl w:val="0"/>
              <w:numPr>
                <w:ilvl w:val="0"/>
                <w:numId w:val="0"/>
              </w:numPr>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（注：若1名成员同时具有注册会计师证书和高级会计师证书，</w:t>
            </w:r>
            <w:r>
              <w:rPr>
                <w:rFonts w:hint="eastAsia" w:ascii="宋体" w:hAnsi="宋体" w:cs="宋体"/>
                <w:color w:val="auto"/>
                <w:kern w:val="2"/>
                <w:sz w:val="21"/>
                <w:szCs w:val="21"/>
                <w:highlight w:val="none"/>
                <w:lang w:val="en-US" w:eastAsia="zh-CN" w:bidi="ar-SA"/>
              </w:rPr>
              <w:t>按注册会计师证书</w:t>
            </w:r>
            <w:r>
              <w:rPr>
                <w:rFonts w:hint="eastAsia" w:ascii="宋体" w:hAnsi="宋体" w:eastAsia="宋体" w:cs="宋体"/>
                <w:color w:val="auto"/>
                <w:kern w:val="2"/>
                <w:sz w:val="21"/>
                <w:szCs w:val="21"/>
                <w:highlight w:val="none"/>
                <w:lang w:val="en-US" w:eastAsia="zh-CN" w:bidi="ar-SA"/>
              </w:rPr>
              <w:t>加分）</w:t>
            </w:r>
          </w:p>
        </w:tc>
      </w:tr>
      <w:tr w14:paraId="5BD41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3" w:hRule="atLeast"/>
          <w:jc w:val="center"/>
        </w:trPr>
        <w:tc>
          <w:tcPr>
            <w:tcW w:w="741" w:type="dxa"/>
            <w:tcBorders>
              <w:top w:val="nil"/>
            </w:tcBorders>
            <w:noWrap w:val="0"/>
            <w:vAlign w:val="center"/>
          </w:tcPr>
          <w:p w14:paraId="248A6559">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2.2.4（3）</w:t>
            </w:r>
          </w:p>
        </w:tc>
        <w:tc>
          <w:tcPr>
            <w:tcW w:w="741" w:type="dxa"/>
            <w:tcBorders>
              <w:top w:val="nil"/>
            </w:tcBorders>
            <w:noWrap w:val="0"/>
            <w:vAlign w:val="center"/>
          </w:tcPr>
          <w:p w14:paraId="16BD3D45">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评标价</w:t>
            </w:r>
          </w:p>
        </w:tc>
        <w:tc>
          <w:tcPr>
            <w:tcW w:w="624" w:type="dxa"/>
            <w:tcBorders>
              <w:top w:val="nil"/>
              <w:bottom w:val="single" w:color="auto" w:sz="4" w:space="0"/>
            </w:tcBorders>
            <w:noWrap w:val="0"/>
            <w:vAlign w:val="center"/>
          </w:tcPr>
          <w:p w14:paraId="404196AF">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w:t>
            </w:r>
            <w:r>
              <w:rPr>
                <w:rFonts w:ascii="Times New Roman" w:hAnsi="Times New Roman" w:eastAsia="宋体" w:cs="Times New Roman"/>
                <w:color w:val="auto"/>
                <w:kern w:val="2"/>
                <w:sz w:val="21"/>
                <w:szCs w:val="21"/>
                <w:highlight w:val="none"/>
                <w:lang w:val="en-US" w:eastAsia="zh-CN" w:bidi="ar-SA"/>
              </w:rPr>
              <w:t>0分</w:t>
            </w:r>
          </w:p>
        </w:tc>
        <w:tc>
          <w:tcPr>
            <w:tcW w:w="7546" w:type="dxa"/>
            <w:gridSpan w:val="3"/>
            <w:tcBorders>
              <w:bottom w:val="single" w:color="auto" w:sz="4" w:space="0"/>
            </w:tcBorders>
            <w:noWrap w:val="0"/>
            <w:vAlign w:val="center"/>
          </w:tcPr>
          <w:p w14:paraId="55DF38D0">
            <w:pPr>
              <w:keepNext w:val="0"/>
              <w:keepLines w:val="0"/>
              <w:pageBreakBefore w:val="0"/>
              <w:kinsoku/>
              <w:wordWrap/>
              <w:overflowPunct/>
              <w:topLinePunct w:val="0"/>
              <w:autoSpaceDE/>
              <w:autoSpaceDN/>
              <w:bidi w:val="0"/>
              <w:adjustRightInd/>
              <w:snapToGrid w:val="0"/>
              <w:spacing w:line="320" w:lineRule="exact"/>
              <w:textAlignment w:val="auto"/>
              <w:rPr>
                <w:color w:val="auto"/>
                <w:kern w:val="2"/>
                <w:sz w:val="21"/>
                <w:szCs w:val="21"/>
                <w:highlight w:val="none"/>
              </w:rPr>
            </w:pPr>
            <w:r>
              <w:rPr>
                <w:color w:val="auto"/>
                <w:kern w:val="2"/>
                <w:sz w:val="21"/>
                <w:szCs w:val="21"/>
                <w:highlight w:val="none"/>
              </w:rPr>
              <w:t>评标价得分计算公式示例：</w:t>
            </w:r>
          </w:p>
          <w:p w14:paraId="2260D643">
            <w:pPr>
              <w:keepNext w:val="0"/>
              <w:keepLines w:val="0"/>
              <w:pageBreakBefore w:val="0"/>
              <w:kinsoku/>
              <w:wordWrap/>
              <w:overflowPunct/>
              <w:topLinePunct w:val="0"/>
              <w:autoSpaceDE/>
              <w:autoSpaceDN/>
              <w:bidi w:val="0"/>
              <w:adjustRightInd/>
              <w:snapToGrid w:val="0"/>
              <w:spacing w:line="320" w:lineRule="exact"/>
              <w:textAlignment w:val="auto"/>
              <w:rPr>
                <w:color w:val="auto"/>
                <w:kern w:val="2"/>
                <w:sz w:val="21"/>
                <w:szCs w:val="21"/>
                <w:highlight w:val="none"/>
              </w:rPr>
            </w:pPr>
            <w:r>
              <w:rPr>
                <w:color w:val="auto"/>
                <w:kern w:val="2"/>
                <w:sz w:val="21"/>
                <w:szCs w:val="21"/>
                <w:highlight w:val="none"/>
              </w:rPr>
              <w:t>（1）如果投标人的评标价＞评标基准价，则评标价得分=F-（投标人评标价-评标基准价）/评标基准价×100×E1；</w:t>
            </w:r>
          </w:p>
          <w:p w14:paraId="3B6726E5">
            <w:pPr>
              <w:keepNext w:val="0"/>
              <w:keepLines w:val="0"/>
              <w:pageBreakBefore w:val="0"/>
              <w:kinsoku/>
              <w:wordWrap/>
              <w:overflowPunct/>
              <w:topLinePunct w:val="0"/>
              <w:autoSpaceDE/>
              <w:autoSpaceDN/>
              <w:bidi w:val="0"/>
              <w:adjustRightInd/>
              <w:snapToGrid w:val="0"/>
              <w:spacing w:line="320" w:lineRule="exact"/>
              <w:textAlignment w:val="auto"/>
              <w:rPr>
                <w:color w:val="auto"/>
                <w:kern w:val="2"/>
                <w:sz w:val="21"/>
                <w:szCs w:val="21"/>
                <w:highlight w:val="none"/>
              </w:rPr>
            </w:pPr>
            <w:r>
              <w:rPr>
                <w:color w:val="auto"/>
                <w:kern w:val="2"/>
                <w:sz w:val="21"/>
                <w:szCs w:val="21"/>
                <w:highlight w:val="none"/>
              </w:rPr>
              <w:t>（2）如果投标人的评标价≤评标基准价，则评标价得分=F+（投标人评标价-评标基准价）/评标基准价×100×E2。</w:t>
            </w:r>
          </w:p>
          <w:p w14:paraId="0ECF0141">
            <w:pPr>
              <w:keepNext w:val="0"/>
              <w:keepLines w:val="0"/>
              <w:pageBreakBefore w:val="0"/>
              <w:kinsoku/>
              <w:wordWrap/>
              <w:overflowPunct/>
              <w:topLinePunct w:val="0"/>
              <w:autoSpaceDE/>
              <w:autoSpaceDN/>
              <w:bidi w:val="0"/>
              <w:adjustRightInd/>
              <w:snapToGrid w:val="0"/>
              <w:spacing w:line="320" w:lineRule="exact"/>
              <w:jc w:val="left"/>
              <w:textAlignment w:val="auto"/>
              <w:rPr>
                <w:color w:val="auto"/>
                <w:sz w:val="21"/>
                <w:szCs w:val="21"/>
                <w:highlight w:val="none"/>
              </w:rPr>
            </w:pPr>
            <w:r>
              <w:rPr>
                <w:color w:val="auto"/>
                <w:sz w:val="21"/>
                <w:szCs w:val="21"/>
                <w:highlight w:val="none"/>
              </w:rPr>
              <w:t>其中，F=</w:t>
            </w:r>
            <w:r>
              <w:rPr>
                <w:rFonts w:hint="eastAsia"/>
                <w:color w:val="auto"/>
                <w:sz w:val="21"/>
                <w:szCs w:val="21"/>
                <w:highlight w:val="none"/>
              </w:rPr>
              <w:t>3</w:t>
            </w:r>
            <w:r>
              <w:rPr>
                <w:color w:val="auto"/>
                <w:sz w:val="21"/>
                <w:szCs w:val="21"/>
                <w:highlight w:val="none"/>
              </w:rPr>
              <w:t>0；E1=0.</w:t>
            </w:r>
            <w:r>
              <w:rPr>
                <w:rFonts w:hint="eastAsia" w:ascii="Times New Roman" w:eastAsia="宋体"/>
                <w:color w:val="auto"/>
                <w:sz w:val="21"/>
                <w:szCs w:val="21"/>
                <w:highlight w:val="none"/>
                <w:lang w:val="en-US" w:eastAsia="zh-CN"/>
              </w:rPr>
              <w:t>4</w:t>
            </w:r>
            <w:r>
              <w:rPr>
                <w:color w:val="auto"/>
                <w:sz w:val="21"/>
                <w:szCs w:val="21"/>
                <w:highlight w:val="none"/>
              </w:rPr>
              <w:t>；E2=0.</w:t>
            </w:r>
            <w:r>
              <w:rPr>
                <w:rFonts w:hint="eastAsia" w:ascii="Times New Roman" w:eastAsia="宋体"/>
                <w:color w:val="auto"/>
                <w:sz w:val="21"/>
                <w:szCs w:val="21"/>
                <w:highlight w:val="none"/>
                <w:lang w:val="en-US" w:eastAsia="zh-CN"/>
              </w:rPr>
              <w:t>2</w:t>
            </w:r>
            <w:r>
              <w:rPr>
                <w:color w:val="auto"/>
                <w:sz w:val="21"/>
                <w:szCs w:val="21"/>
                <w:highlight w:val="none"/>
              </w:rPr>
              <w:t>；评标价最低得分为0分。</w:t>
            </w:r>
          </w:p>
          <w:p w14:paraId="5E80E59D">
            <w:pPr>
              <w:jc w:val="left"/>
              <w:rPr>
                <w:color w:val="auto"/>
                <w:kern w:val="2"/>
                <w:sz w:val="21"/>
                <w:szCs w:val="21"/>
                <w:highlight w:val="none"/>
              </w:rPr>
            </w:pPr>
            <w:r>
              <w:rPr>
                <w:color w:val="auto"/>
                <w:kern w:val="2"/>
                <w:sz w:val="21"/>
                <w:szCs w:val="21"/>
                <w:highlight w:val="none"/>
              </w:rPr>
              <w:t>评标价得分保留两位小数，第三位四舍五入。</w:t>
            </w:r>
          </w:p>
        </w:tc>
      </w:tr>
      <w:tr w14:paraId="7A7FC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741" w:type="dxa"/>
            <w:noWrap w:val="0"/>
            <w:vAlign w:val="center"/>
          </w:tcPr>
          <w:p w14:paraId="5BA551E8">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2.2.4（4）</w:t>
            </w:r>
          </w:p>
        </w:tc>
        <w:tc>
          <w:tcPr>
            <w:tcW w:w="741" w:type="dxa"/>
            <w:noWrap w:val="0"/>
            <w:vAlign w:val="center"/>
          </w:tcPr>
          <w:p w14:paraId="0FABCED5">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其他因素</w:t>
            </w:r>
          </w:p>
        </w:tc>
        <w:tc>
          <w:tcPr>
            <w:tcW w:w="624" w:type="dxa"/>
            <w:tcBorders>
              <w:top w:val="single" w:color="auto" w:sz="4" w:space="0"/>
            </w:tcBorders>
            <w:noWrap w:val="0"/>
            <w:vAlign w:val="center"/>
          </w:tcPr>
          <w:p w14:paraId="737C7501">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15</w:t>
            </w:r>
            <w:r>
              <w:rPr>
                <w:rFonts w:ascii="Times New Roman" w:hAnsi="Times New Roman" w:eastAsia="宋体" w:cs="Times New Roman"/>
                <w:color w:val="auto"/>
                <w:kern w:val="2"/>
                <w:sz w:val="21"/>
                <w:szCs w:val="21"/>
                <w:highlight w:val="none"/>
                <w:lang w:val="en-US" w:eastAsia="zh-CN" w:bidi="ar-SA"/>
              </w:rPr>
              <w:t>分</w:t>
            </w:r>
          </w:p>
        </w:tc>
        <w:tc>
          <w:tcPr>
            <w:tcW w:w="1134" w:type="dxa"/>
            <w:tcBorders>
              <w:top w:val="single" w:color="auto" w:sz="4" w:space="0"/>
            </w:tcBorders>
            <w:noWrap w:val="0"/>
            <w:vAlign w:val="center"/>
          </w:tcPr>
          <w:p w14:paraId="00648C10">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业绩</w:t>
            </w:r>
          </w:p>
        </w:tc>
        <w:tc>
          <w:tcPr>
            <w:tcW w:w="567" w:type="dxa"/>
            <w:tcBorders>
              <w:top w:val="single" w:color="auto" w:sz="4" w:space="0"/>
            </w:tcBorders>
            <w:noWrap w:val="0"/>
            <w:vAlign w:val="center"/>
          </w:tcPr>
          <w:p w14:paraId="1B9287AE">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15</w:t>
            </w:r>
            <w:r>
              <w:rPr>
                <w:rFonts w:ascii="Times New Roman" w:hAnsi="Times New Roman" w:eastAsia="宋体" w:cs="Times New Roman"/>
                <w:color w:val="auto"/>
                <w:kern w:val="2"/>
                <w:sz w:val="21"/>
                <w:szCs w:val="21"/>
                <w:highlight w:val="none"/>
                <w:lang w:val="en-US" w:eastAsia="zh-CN" w:bidi="ar-SA"/>
              </w:rPr>
              <w:t>分</w:t>
            </w:r>
          </w:p>
        </w:tc>
        <w:tc>
          <w:tcPr>
            <w:tcW w:w="5845" w:type="dxa"/>
            <w:tcBorders>
              <w:top w:val="single" w:color="auto" w:sz="4" w:space="0"/>
            </w:tcBorders>
            <w:noWrap w:val="0"/>
            <w:vAlign w:val="center"/>
          </w:tcPr>
          <w:p w14:paraId="1B87E7F9">
            <w:pPr>
              <w:rPr>
                <w:color w:val="auto"/>
                <w:kern w:val="2"/>
                <w:sz w:val="21"/>
                <w:szCs w:val="21"/>
                <w:highlight w:val="none"/>
              </w:rPr>
            </w:pPr>
            <w:r>
              <w:rPr>
                <w:color w:val="auto"/>
                <w:kern w:val="2"/>
                <w:sz w:val="21"/>
                <w:szCs w:val="21"/>
                <w:highlight w:val="none"/>
              </w:rPr>
              <w:t>满足</w:t>
            </w:r>
            <w:r>
              <w:rPr>
                <w:rFonts w:hint="eastAsia"/>
                <w:color w:val="auto"/>
                <w:kern w:val="2"/>
                <w:sz w:val="21"/>
                <w:szCs w:val="21"/>
                <w:highlight w:val="none"/>
              </w:rPr>
              <w:t>“</w:t>
            </w:r>
            <w:r>
              <w:rPr>
                <w:color w:val="auto"/>
                <w:kern w:val="2"/>
                <w:sz w:val="21"/>
                <w:szCs w:val="21"/>
                <w:highlight w:val="none"/>
              </w:rPr>
              <w:t>资格审查条件（业绩最低要求）</w:t>
            </w:r>
            <w:r>
              <w:rPr>
                <w:rFonts w:hint="eastAsia"/>
                <w:color w:val="auto"/>
                <w:kern w:val="2"/>
                <w:sz w:val="21"/>
                <w:szCs w:val="21"/>
                <w:highlight w:val="none"/>
              </w:rPr>
              <w:t>”</w:t>
            </w:r>
            <w:r>
              <w:rPr>
                <w:color w:val="auto"/>
                <w:kern w:val="2"/>
                <w:sz w:val="21"/>
                <w:szCs w:val="21"/>
                <w:highlight w:val="none"/>
              </w:rPr>
              <w:t>得</w:t>
            </w:r>
            <w:r>
              <w:rPr>
                <w:rFonts w:hint="eastAsia" w:ascii="Times New Roman" w:eastAsia="宋体"/>
                <w:color w:val="auto"/>
                <w:kern w:val="2"/>
                <w:sz w:val="21"/>
                <w:szCs w:val="21"/>
                <w:highlight w:val="none"/>
                <w:lang w:val="en-US" w:eastAsia="zh-CN"/>
              </w:rPr>
              <w:t>9</w:t>
            </w:r>
            <w:r>
              <w:rPr>
                <w:color w:val="auto"/>
                <w:kern w:val="2"/>
                <w:sz w:val="21"/>
                <w:szCs w:val="21"/>
                <w:highlight w:val="none"/>
              </w:rPr>
              <w:t>分；</w:t>
            </w:r>
          </w:p>
          <w:p w14:paraId="0A1735C3">
            <w:pPr>
              <w:rPr>
                <w:color w:val="auto"/>
                <w:sz w:val="21"/>
                <w:szCs w:val="21"/>
                <w:highlight w:val="none"/>
              </w:rPr>
            </w:pPr>
            <w:r>
              <w:rPr>
                <w:color w:val="auto"/>
                <w:kern w:val="2"/>
                <w:sz w:val="21"/>
                <w:szCs w:val="21"/>
                <w:highlight w:val="none"/>
              </w:rPr>
              <w:t>每增加一个满足</w:t>
            </w:r>
            <w:r>
              <w:rPr>
                <w:rFonts w:hint="eastAsia"/>
                <w:color w:val="auto"/>
                <w:kern w:val="2"/>
                <w:sz w:val="21"/>
                <w:szCs w:val="21"/>
                <w:highlight w:val="none"/>
              </w:rPr>
              <w:t>“</w:t>
            </w:r>
            <w:r>
              <w:rPr>
                <w:color w:val="auto"/>
                <w:kern w:val="2"/>
                <w:sz w:val="21"/>
                <w:szCs w:val="21"/>
                <w:highlight w:val="none"/>
              </w:rPr>
              <w:t>资格审查条件（业绩最低要求）</w:t>
            </w:r>
            <w:r>
              <w:rPr>
                <w:rFonts w:hint="eastAsia"/>
                <w:color w:val="auto"/>
                <w:kern w:val="2"/>
                <w:sz w:val="21"/>
                <w:szCs w:val="21"/>
                <w:highlight w:val="none"/>
              </w:rPr>
              <w:t>”</w:t>
            </w:r>
            <w:r>
              <w:rPr>
                <w:color w:val="auto"/>
                <w:kern w:val="2"/>
                <w:sz w:val="21"/>
                <w:szCs w:val="21"/>
                <w:highlight w:val="none"/>
              </w:rPr>
              <w:t>的业绩，加</w:t>
            </w:r>
            <w:r>
              <w:rPr>
                <w:rFonts w:hint="eastAsia" w:ascii="Times New Roman" w:eastAsia="宋体"/>
                <w:color w:val="auto"/>
                <w:kern w:val="2"/>
                <w:sz w:val="21"/>
                <w:szCs w:val="21"/>
                <w:highlight w:val="none"/>
                <w:lang w:val="en-US" w:eastAsia="zh-CN"/>
              </w:rPr>
              <w:t>3</w:t>
            </w:r>
            <w:r>
              <w:rPr>
                <w:color w:val="auto"/>
                <w:kern w:val="2"/>
                <w:sz w:val="21"/>
                <w:szCs w:val="21"/>
                <w:highlight w:val="none"/>
              </w:rPr>
              <w:t>分，最多加</w:t>
            </w:r>
            <w:r>
              <w:rPr>
                <w:rFonts w:hint="eastAsia" w:ascii="Times New Roman" w:eastAsia="宋体"/>
                <w:color w:val="auto"/>
                <w:kern w:val="2"/>
                <w:sz w:val="21"/>
                <w:szCs w:val="21"/>
                <w:highlight w:val="none"/>
                <w:lang w:val="en-US" w:eastAsia="zh-CN"/>
              </w:rPr>
              <w:t>6</w:t>
            </w:r>
            <w:r>
              <w:rPr>
                <w:color w:val="auto"/>
                <w:kern w:val="2"/>
                <w:sz w:val="21"/>
                <w:szCs w:val="21"/>
                <w:highlight w:val="none"/>
              </w:rPr>
              <w:t>分。</w:t>
            </w:r>
          </w:p>
        </w:tc>
      </w:tr>
    </w:tbl>
    <w:p w14:paraId="51284D40">
      <w:pPr>
        <w:widowControl w:val="0"/>
        <w:jc w:val="both"/>
        <w:rPr>
          <w:rFonts w:ascii="Times New Roman" w:hAnsi="Times New Roman" w:eastAsia="宋体" w:cs="Times New Roman"/>
          <w:color w:val="auto"/>
          <w:kern w:val="2"/>
          <w:sz w:val="21"/>
          <w:szCs w:val="21"/>
          <w:highlight w:val="none"/>
          <w:lang w:val="en-US" w:eastAsia="zh-CN" w:bidi="ar-SA"/>
        </w:rPr>
      </w:pPr>
    </w:p>
    <w:p w14:paraId="1CA246F4">
      <w:pPr>
        <w:ind w:firstLine="400" w:firstLineChars="200"/>
        <w:rPr>
          <w:color w:val="auto"/>
          <w:kern w:val="0"/>
          <w:sz w:val="20"/>
          <w:highlight w:val="none"/>
          <w:lang w:val="zh-CN"/>
        </w:rPr>
      </w:pPr>
      <w:r>
        <w:rPr>
          <w:color w:val="auto"/>
          <w:kern w:val="0"/>
          <w:sz w:val="20"/>
          <w:highlight w:val="none"/>
          <w:lang w:val="zh-CN"/>
        </w:rPr>
        <w:t>注：1、第2.2.4（1）项各评委打分保留1位小数，投标人该项得分以各评委打分平均值计算所得，保留两位小数，第三位小数四舍五入。</w:t>
      </w:r>
    </w:p>
    <w:p w14:paraId="26304C82">
      <w:r>
        <w:rPr>
          <w:color w:val="auto"/>
          <w:kern w:val="0"/>
          <w:sz w:val="20"/>
          <w:highlight w:val="none"/>
          <w:lang w:val="zh-CN"/>
        </w:rPr>
        <w:t>2、第2.2.4（1）项评审因素</w:t>
      </w:r>
      <w:r>
        <w:rPr>
          <w:rFonts w:hint="eastAsia" w:ascii="Times New Roman" w:eastAsia="宋体"/>
          <w:color w:val="auto"/>
          <w:kern w:val="0"/>
          <w:sz w:val="20"/>
          <w:highlight w:val="none"/>
          <w:lang w:val="en-US" w:eastAsia="zh-CN"/>
        </w:rPr>
        <w:t>细分项</w:t>
      </w:r>
      <w:r>
        <w:rPr>
          <w:color w:val="auto"/>
          <w:kern w:val="0"/>
          <w:sz w:val="20"/>
          <w:highlight w:val="none"/>
          <w:lang w:val="zh-CN"/>
        </w:rPr>
        <w:t>缺项则该项得0分。</w:t>
      </w:r>
      <w:bookmarkStart w:id="16" w:name="_GoBack"/>
      <w:bookmarkEnd w:id="1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0F6E2A"/>
    <w:rsid w:val="0ECD0571"/>
    <w:rsid w:val="11396325"/>
    <w:rsid w:val="14E0681B"/>
    <w:rsid w:val="1760460B"/>
    <w:rsid w:val="180F6E2A"/>
    <w:rsid w:val="1E4F62D6"/>
    <w:rsid w:val="1F40383D"/>
    <w:rsid w:val="279B48E7"/>
    <w:rsid w:val="2896660E"/>
    <w:rsid w:val="2AE8488E"/>
    <w:rsid w:val="2EDF2AFC"/>
    <w:rsid w:val="33664DBE"/>
    <w:rsid w:val="35A574B6"/>
    <w:rsid w:val="395E67BE"/>
    <w:rsid w:val="39F049E4"/>
    <w:rsid w:val="3ABF5F61"/>
    <w:rsid w:val="42286BD6"/>
    <w:rsid w:val="444E2F6B"/>
    <w:rsid w:val="4A1273D5"/>
    <w:rsid w:val="4B080D08"/>
    <w:rsid w:val="4C01529A"/>
    <w:rsid w:val="4ECD1ABD"/>
    <w:rsid w:val="528205B6"/>
    <w:rsid w:val="54904D90"/>
    <w:rsid w:val="620072A5"/>
    <w:rsid w:val="62A806BA"/>
    <w:rsid w:val="643F511A"/>
    <w:rsid w:val="72663C5F"/>
    <w:rsid w:val="7B804FE0"/>
    <w:rsid w:val="7F846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1"/>
    <w:basedOn w:val="1"/>
    <w:next w:val="1"/>
    <w:link w:val="10"/>
    <w:qFormat/>
    <w:uiPriority w:val="0"/>
    <w:pPr>
      <w:keepNext/>
      <w:widowControl/>
      <w:spacing w:before="50" w:beforeLines="50" w:after="50" w:afterLines="50" w:line="360" w:lineRule="auto"/>
      <w:jc w:val="center"/>
      <w:outlineLvl w:val="0"/>
    </w:pPr>
    <w:rPr>
      <w:rFonts w:ascii="宋体" w:hAnsi="宋体" w:eastAsia="宋体" w:cs="宋体"/>
      <w:b/>
      <w:bCs/>
      <w:kern w:val="36"/>
      <w:sz w:val="40"/>
      <w:szCs w:val="32"/>
    </w:rPr>
  </w:style>
  <w:style w:type="paragraph" w:styleId="3">
    <w:name w:val="heading 2"/>
    <w:basedOn w:val="1"/>
    <w:next w:val="1"/>
    <w:link w:val="9"/>
    <w:semiHidden/>
    <w:unhideWhenUsed/>
    <w:qFormat/>
    <w:uiPriority w:val="0"/>
    <w:pPr>
      <w:spacing w:line="360" w:lineRule="auto"/>
      <w:ind w:left="0"/>
      <w:jc w:val="center"/>
      <w:outlineLvl w:val="1"/>
    </w:pPr>
    <w:rPr>
      <w:rFonts w:ascii="宋体" w:hAnsi="宋体" w:eastAsia="宋体" w:cs="宋体"/>
      <w:b/>
      <w:sz w:val="32"/>
      <w:szCs w:val="30"/>
      <w:lang w:eastAsia="en-US"/>
    </w:rPr>
  </w:style>
  <w:style w:type="paragraph" w:styleId="4">
    <w:name w:val="heading 3"/>
    <w:basedOn w:val="1"/>
    <w:next w:val="1"/>
    <w:link w:val="11"/>
    <w:semiHidden/>
    <w:unhideWhenUsed/>
    <w:qFormat/>
    <w:uiPriority w:val="0"/>
    <w:pPr>
      <w:keepNext/>
      <w:widowControl/>
      <w:spacing w:line="360" w:lineRule="auto"/>
      <w:ind w:left="0"/>
      <w:jc w:val="left"/>
      <w:outlineLvl w:val="2"/>
    </w:pPr>
    <w:rPr>
      <w:rFonts w:ascii="宋体" w:hAnsi="宋体" w:eastAsia="宋体" w:cs="宋体"/>
      <w:b/>
      <w:bCs/>
      <w:sz w:val="24"/>
      <w:szCs w:val="24"/>
      <w:lang w:eastAsia="en-US"/>
    </w:rPr>
  </w:style>
  <w:style w:type="paragraph" w:styleId="5">
    <w:name w:val="heading 4"/>
    <w:basedOn w:val="1"/>
    <w:next w:val="1"/>
    <w:link w:val="12"/>
    <w:semiHidden/>
    <w:unhideWhenUsed/>
    <w:qFormat/>
    <w:uiPriority w:val="0"/>
    <w:pPr>
      <w:ind w:left="237"/>
      <w:outlineLvl w:val="3"/>
    </w:pPr>
    <w:rPr>
      <w:rFonts w:ascii="宋体" w:hAnsi="宋体" w:eastAsia="宋体" w:cs="Times New Roman"/>
      <w:b/>
      <w:sz w:val="28"/>
      <w:szCs w:val="28"/>
      <w:lang w:eastAsia="en-US"/>
    </w:rPr>
  </w:style>
  <w:style w:type="paragraph" w:styleId="6">
    <w:name w:val="heading 5"/>
    <w:basedOn w:val="1"/>
    <w:next w:val="1"/>
    <w:semiHidden/>
    <w:unhideWhenUsed/>
    <w:qFormat/>
    <w:uiPriority w:val="0"/>
    <w:pPr>
      <w:keepNext/>
      <w:keepLines/>
      <w:spacing w:beforeLines="0" w:beforeAutospacing="0" w:afterLines="0" w:afterAutospacing="0" w:line="360" w:lineRule="auto"/>
      <w:outlineLvl w:val="4"/>
    </w:pPr>
    <w:rPr>
      <w:rFonts w:ascii="宋体" w:hAnsi="宋体" w:cs="宋体" w:eastAsiaTheme="minorEastAsia"/>
      <w:b/>
      <w:sz w:val="24"/>
      <w:szCs w:val="24"/>
      <w:lang w:eastAsia="en-US"/>
    </w:rPr>
  </w:style>
  <w:style w:type="character" w:default="1" w:styleId="8">
    <w:name w:val="Default Paragraph Font"/>
    <w:unhideWhenUsed/>
    <w:qFormat/>
    <w:uiPriority w:val="1"/>
  </w:style>
  <w:style w:type="table" w:default="1" w:styleId="7">
    <w:name w:val="Normal Table"/>
    <w:semiHidden/>
    <w:uiPriority w:val="0"/>
    <w:tblPr>
      <w:tblCellMar>
        <w:top w:w="0" w:type="dxa"/>
        <w:left w:w="108" w:type="dxa"/>
        <w:bottom w:w="0" w:type="dxa"/>
        <w:right w:w="108" w:type="dxa"/>
      </w:tblCellMar>
    </w:tblPr>
  </w:style>
  <w:style w:type="character" w:customStyle="1" w:styleId="9">
    <w:name w:val="标题 2 Char"/>
    <w:basedOn w:val="8"/>
    <w:link w:val="3"/>
    <w:qFormat/>
    <w:uiPriority w:val="9"/>
    <w:rPr>
      <w:rFonts w:ascii="宋体" w:hAnsi="宋体" w:eastAsia="宋体" w:cs="宋体"/>
      <w:b/>
      <w:bCs/>
      <w:sz w:val="24"/>
      <w:szCs w:val="24"/>
      <w:lang w:eastAsia="en-US"/>
    </w:rPr>
  </w:style>
  <w:style w:type="character" w:customStyle="1" w:styleId="10">
    <w:name w:val="标题 1 Char"/>
    <w:basedOn w:val="8"/>
    <w:link w:val="2"/>
    <w:qFormat/>
    <w:uiPriority w:val="9"/>
    <w:rPr>
      <w:rFonts w:ascii="宋体" w:hAnsi="宋体" w:eastAsia="宋体" w:cs="宋体"/>
      <w:b/>
      <w:bCs/>
      <w:kern w:val="36"/>
      <w:sz w:val="40"/>
      <w:szCs w:val="32"/>
      <w:lang w:eastAsia="en-US"/>
    </w:rPr>
  </w:style>
  <w:style w:type="character" w:customStyle="1" w:styleId="11">
    <w:name w:val="标题 3 Char"/>
    <w:basedOn w:val="8"/>
    <w:link w:val="4"/>
    <w:qFormat/>
    <w:uiPriority w:val="9"/>
    <w:rPr>
      <w:rFonts w:ascii="宋体" w:hAnsi="宋体" w:eastAsia="宋体" w:cs="宋体"/>
      <w:b/>
      <w:bCs/>
      <w:kern w:val="0"/>
      <w:sz w:val="24"/>
      <w:szCs w:val="24"/>
      <w:lang w:eastAsia="en-US"/>
    </w:rPr>
  </w:style>
  <w:style w:type="character" w:customStyle="1" w:styleId="12">
    <w:name w:val="标题 4 字符"/>
    <w:link w:val="5"/>
    <w:qFormat/>
    <w:uiPriority w:val="0"/>
    <w:rPr>
      <w:rFonts w:ascii="宋体" w:hAnsi="宋体" w:eastAsia="宋体" w:cs="Times New Roman"/>
      <w:b/>
      <w:sz w:val="28"/>
      <w:szCs w:val="28"/>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2026-08-10T01:10:00Z</dcterms:created>
  <dc:creator>张宁</dc:creator>
  <cp:lastModifiedBy>张宁</cp:lastModifiedBy>
  <dcterms:modified xsi:type="dcterms:W3CDTF">2026-08-10T01:10:45Z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D9310ED17EDD43A18BD667AC1B770FFC_11</vt:lpwstr>
  </property>
  <property fmtid="{D5CDD505-2E9C-101B-9397-08002B2CF9AE}" pid="4" name="KSOTemplateDocerSaveRecord">
    <vt:lpwstr>eyJoZGlkIjoiNGFjNGU5MGM1NzNmMGRmMGE0N2VjNjk3NDcyNTAwODYiLCJ1c2VySWQiOiIxNjgyOTM3NTgwIn0=</vt:lpwstr>
  </property>
</Properties>
</file>